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E9C38">
      <w:pPr>
        <w:pStyle w:val="23"/>
        <w:widowControl/>
        <w:spacing w:before="312" w:after="312"/>
        <w:jc w:val="center"/>
        <w:rPr>
          <w:rFonts w:hint="eastAsia"/>
          <w:b/>
          <w:bCs/>
          <w:color w:val="auto"/>
          <w:sz w:val="52"/>
          <w:szCs w:val="52"/>
        </w:rPr>
      </w:pPr>
    </w:p>
    <w:p w14:paraId="0773DA16">
      <w:pPr>
        <w:pStyle w:val="23"/>
        <w:widowControl/>
        <w:spacing w:before="312" w:after="312"/>
        <w:jc w:val="center"/>
        <w:rPr>
          <w:rFonts w:hint="eastAsia"/>
          <w:b/>
          <w:bCs/>
          <w:color w:val="auto"/>
          <w:sz w:val="52"/>
          <w:szCs w:val="52"/>
        </w:rPr>
      </w:pPr>
    </w:p>
    <w:p w14:paraId="6EDF85A1">
      <w:pPr>
        <w:pStyle w:val="23"/>
        <w:widowControl/>
        <w:spacing w:before="312" w:after="312"/>
        <w:jc w:val="center"/>
        <w:rPr>
          <w:rFonts w:hint="eastAsia"/>
          <w:b/>
          <w:bCs/>
          <w:color w:val="auto"/>
          <w:sz w:val="52"/>
          <w:szCs w:val="52"/>
        </w:rPr>
      </w:pPr>
    </w:p>
    <w:p w14:paraId="449114A4">
      <w:pPr>
        <w:pStyle w:val="23"/>
        <w:widowControl/>
        <w:spacing w:before="312" w:after="312"/>
        <w:jc w:val="center"/>
        <w:rPr>
          <w:rFonts w:hint="eastAsia" w:ascii="方正小标宋简体" w:hAnsi="宋体" w:eastAsia="方正小标宋简体"/>
          <w:bCs/>
          <w:color w:val="auto"/>
          <w:sz w:val="52"/>
          <w:szCs w:val="52"/>
        </w:rPr>
      </w:pPr>
      <w:r>
        <w:rPr>
          <w:rFonts w:hint="eastAsia" w:ascii="方正小标宋简体" w:eastAsia="方正小标宋简体"/>
          <w:bCs/>
          <w:color w:val="auto"/>
          <w:sz w:val="52"/>
          <w:szCs w:val="52"/>
        </w:rPr>
        <w:t>2025</w:t>
      </w:r>
      <w:r>
        <w:rPr>
          <w:rFonts w:hint="eastAsia" w:ascii="方正小标宋简体" w:hAnsi="宋体" w:eastAsia="方正小标宋简体"/>
          <w:bCs/>
          <w:color w:val="auto"/>
          <w:sz w:val="52"/>
          <w:szCs w:val="52"/>
        </w:rPr>
        <w:t>年度内蒙古自治区人民检察院（本级）决算公开报告</w:t>
      </w:r>
    </w:p>
    <w:p w14:paraId="3455CC31">
      <w:pPr>
        <w:pStyle w:val="23"/>
        <w:widowControl/>
        <w:spacing w:before="312" w:after="312"/>
        <w:jc w:val="center"/>
        <w:rPr>
          <w:rFonts w:ascii="宋体" w:hAnsi="宋体"/>
          <w:b/>
          <w:bCs/>
          <w:color w:val="auto"/>
          <w:sz w:val="52"/>
          <w:szCs w:val="52"/>
        </w:rPr>
        <w:sectPr>
          <w:footerReference r:id="rId5" w:type="default"/>
          <w:pgSz w:w="11907" w:h="16839"/>
          <w:pgMar w:top="1440" w:right="1797" w:bottom="1440" w:left="1797" w:header="851" w:footer="992" w:gutter="0"/>
          <w:cols w:space="425" w:num="1"/>
          <w:titlePg/>
          <w:docGrid w:type="lines" w:linePitch="312" w:charSpace="0"/>
        </w:sectPr>
      </w:pPr>
    </w:p>
    <w:p w14:paraId="1A30488B">
      <w:pPr>
        <w:pStyle w:val="23"/>
        <w:widowControl/>
        <w:spacing w:before="312" w:after="312"/>
        <w:jc w:val="center"/>
        <w:rPr>
          <w:rFonts w:hint="eastAsia" w:ascii="宋体" w:hAnsi="宋体"/>
          <w:b/>
          <w:bCs/>
          <w:color w:val="auto"/>
          <w:sz w:val="52"/>
          <w:szCs w:val="52"/>
        </w:rPr>
      </w:pPr>
    </w:p>
    <w:p w14:paraId="346B65E1">
      <w:pPr>
        <w:pStyle w:val="23"/>
        <w:widowControl/>
        <w:spacing w:before="312" w:after="312"/>
        <w:jc w:val="center"/>
        <w:rPr>
          <w:rFonts w:hint="eastAsia" w:ascii="宋体" w:hAnsi="宋体"/>
          <w:b/>
          <w:bCs/>
          <w:color w:val="auto"/>
          <w:sz w:val="52"/>
          <w:szCs w:val="52"/>
        </w:rPr>
      </w:pPr>
    </w:p>
    <w:p w14:paraId="45D61488">
      <w:pPr>
        <w:pStyle w:val="23"/>
        <w:widowControl/>
        <w:spacing w:before="312" w:after="312"/>
        <w:jc w:val="center"/>
        <w:rPr>
          <w:rFonts w:ascii="仿宋" w:hAnsi="仿宋" w:eastAsia="仿宋" w:cs="仿宋"/>
          <w:b/>
          <w:bCs/>
          <w:color w:val="auto"/>
          <w:kern w:val="0"/>
          <w:sz w:val="48"/>
          <w:szCs w:val="48"/>
        </w:rPr>
        <w:sectPr>
          <w:pgSz w:w="11907" w:h="16839"/>
          <w:pgMar w:top="1440" w:right="1797" w:bottom="1440" w:left="1797" w:header="851" w:footer="992" w:gutter="0"/>
          <w:cols w:space="425" w:num="1"/>
          <w:titlePg/>
          <w:docGrid w:type="lines" w:linePitch="312" w:charSpace="0"/>
        </w:sectPr>
      </w:pPr>
    </w:p>
    <w:p w14:paraId="32F8B952">
      <w:pPr>
        <w:pStyle w:val="23"/>
        <w:widowControl/>
        <w:spacing w:line="600" w:lineRule="exact"/>
        <w:rPr>
          <w:rFonts w:hint="eastAsia" w:ascii="方正小标宋简体" w:hAnsi="仿宋" w:eastAsia="方正小标宋简体" w:cs="仿宋"/>
          <w:bCs/>
          <w:color w:val="auto"/>
          <w:kern w:val="0"/>
          <w:sz w:val="44"/>
          <w:szCs w:val="44"/>
        </w:rPr>
      </w:pPr>
    </w:p>
    <w:p w14:paraId="72A52F03">
      <w:pPr>
        <w:pStyle w:val="23"/>
        <w:widowControl/>
        <w:spacing w:line="600" w:lineRule="exact"/>
        <w:jc w:val="center"/>
        <w:rPr>
          <w:rFonts w:hint="eastAsia" w:ascii="方正小标宋简体" w:eastAsia="方正小标宋简体"/>
          <w:color w:val="auto"/>
          <w:kern w:val="0"/>
          <w:sz w:val="44"/>
          <w:szCs w:val="44"/>
        </w:rPr>
      </w:pPr>
      <w:r>
        <w:rPr>
          <w:rFonts w:hint="eastAsia" w:ascii="方正小标宋简体" w:hAnsi="仿宋" w:eastAsia="方正小标宋简体" w:cs="仿宋"/>
          <w:bCs/>
          <w:color w:val="auto"/>
          <w:kern w:val="0"/>
          <w:sz w:val="44"/>
          <w:szCs w:val="44"/>
        </w:rPr>
        <w:t>目   录</w:t>
      </w:r>
    </w:p>
    <w:p w14:paraId="3089782B">
      <w:pPr>
        <w:widowControl/>
        <w:spacing w:line="600" w:lineRule="exact"/>
        <w:rPr>
          <w:rFonts w:eastAsia="Times New Roman"/>
          <w:color w:val="auto"/>
          <w:kern w:val="0"/>
          <w:sz w:val="24"/>
        </w:rPr>
      </w:pPr>
    </w:p>
    <w:p w14:paraId="133E13C3">
      <w:pPr>
        <w:pStyle w:val="23"/>
        <w:widowControl/>
        <w:spacing w:line="620" w:lineRule="exact"/>
        <w:rPr>
          <w:rFonts w:eastAsia="Times New Roman"/>
          <w:color w:val="auto"/>
          <w:kern w:val="0"/>
          <w:sz w:val="24"/>
        </w:rPr>
      </w:pPr>
      <w:r>
        <w:rPr>
          <w:rFonts w:ascii="黑体" w:hAnsi="黑体" w:eastAsia="黑体" w:cs="黑体"/>
          <w:color w:val="auto"/>
          <w:kern w:val="0"/>
          <w:sz w:val="32"/>
          <w:szCs w:val="32"/>
        </w:rPr>
        <w:t>第一部分</w:t>
      </w:r>
      <w:r>
        <w:rPr>
          <w:rFonts w:hint="eastAsia" w:ascii="黑体" w:hAnsi="黑体" w:eastAsia="黑体" w:cs="黑体"/>
          <w:color w:val="auto"/>
          <w:kern w:val="0"/>
          <w:sz w:val="32"/>
          <w:szCs w:val="32"/>
        </w:rPr>
        <w:t xml:space="preserve">  </w:t>
      </w:r>
      <w:r>
        <w:rPr>
          <w:rFonts w:ascii="黑体" w:hAnsi="黑体" w:eastAsia="黑体" w:cs="黑体"/>
          <w:color w:val="auto"/>
          <w:kern w:val="0"/>
          <w:sz w:val="32"/>
          <w:szCs w:val="32"/>
        </w:rPr>
        <w:t>单位概况</w:t>
      </w:r>
    </w:p>
    <w:p w14:paraId="1B574D86">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一、主要职能、职责</w:t>
      </w:r>
    </w:p>
    <w:p w14:paraId="4C0F5B95">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二、单位机构设置及决算单位构成情况</w:t>
      </w:r>
    </w:p>
    <w:p w14:paraId="5AC17E42">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年度单位主要工作完成情况</w:t>
      </w:r>
    </w:p>
    <w:p w14:paraId="23A3C26A">
      <w:pPr>
        <w:pStyle w:val="23"/>
        <w:widowControl/>
        <w:spacing w:line="620" w:lineRule="exact"/>
        <w:rPr>
          <w:rFonts w:eastAsia="Times New Roman"/>
          <w:color w:val="auto"/>
          <w:kern w:val="0"/>
          <w:sz w:val="24"/>
        </w:rPr>
      </w:pPr>
      <w:r>
        <w:rPr>
          <w:rFonts w:ascii="黑体" w:hAnsi="黑体" w:eastAsia="黑体" w:cs="黑体"/>
          <w:color w:val="auto"/>
          <w:kern w:val="0"/>
          <w:sz w:val="32"/>
          <w:szCs w:val="32"/>
        </w:rPr>
        <w:t>第二部分</w:t>
      </w:r>
      <w:r>
        <w:rPr>
          <w:rFonts w:hint="eastAsia" w:ascii="黑体" w:hAnsi="黑体" w:eastAsia="黑体" w:cs="黑体"/>
          <w:color w:val="auto"/>
          <w:kern w:val="0"/>
          <w:sz w:val="32"/>
          <w:szCs w:val="32"/>
        </w:rPr>
        <w:t xml:space="preserve">  </w:t>
      </w:r>
      <w:r>
        <w:rPr>
          <w:rFonts w:ascii="黑体" w:hAnsi="黑体" w:eastAsia="黑体" w:cs="黑体"/>
          <w:color w:val="auto"/>
          <w:kern w:val="0"/>
          <w:sz w:val="32"/>
          <w:szCs w:val="32"/>
        </w:rPr>
        <w:t>单位决算情况说明</w:t>
      </w:r>
    </w:p>
    <w:p w14:paraId="771E2D8E">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一、收入支出决算总体情况说明</w:t>
      </w:r>
    </w:p>
    <w:p w14:paraId="68D0EE7A">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二、收入决算情况说明</w:t>
      </w:r>
    </w:p>
    <w:p w14:paraId="353BBBAB">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三、支出决算情况说明</w:t>
      </w:r>
    </w:p>
    <w:p w14:paraId="7BA165C6">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四、财政拨款收入支出决算总体情况说明</w:t>
      </w:r>
    </w:p>
    <w:p w14:paraId="17D22668">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五、一般公共预算财政拨款支出决算情况说明</w:t>
      </w:r>
    </w:p>
    <w:p w14:paraId="5A820736">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六、一般公共预算财政拨款基本支出决算情况说明</w:t>
      </w:r>
    </w:p>
    <w:p w14:paraId="7C37EFDC">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七、一般公共预算财政拨款项目支出决算情况说明</w:t>
      </w:r>
    </w:p>
    <w:p w14:paraId="6A28D802">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八、财政拨款“三公”经费支出决算情况说明</w:t>
      </w:r>
    </w:p>
    <w:p w14:paraId="2EFC550B">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九、政府性基金预算财政拨款支出决算情况说明</w:t>
      </w:r>
    </w:p>
    <w:p w14:paraId="13C311FD">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十、国有资本经营预算财政拨款支出决算情况说明</w:t>
      </w:r>
    </w:p>
    <w:p w14:paraId="60B8FE60">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十一、机关运行经费（公用经费）支出决算情况说明</w:t>
      </w:r>
    </w:p>
    <w:p w14:paraId="79DD4905">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十二、政府采购支出决算情况说明</w:t>
      </w:r>
    </w:p>
    <w:p w14:paraId="6DBE4BFE">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十三、国有资产占用情况说明</w:t>
      </w:r>
    </w:p>
    <w:p w14:paraId="0C26736A">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十四、预算绩效情况说明</w:t>
      </w:r>
    </w:p>
    <w:p w14:paraId="372B5721">
      <w:pPr>
        <w:pStyle w:val="23"/>
        <w:widowControl/>
        <w:spacing w:line="620" w:lineRule="exact"/>
        <w:rPr>
          <w:rFonts w:eastAsia="Times New Roman"/>
          <w:color w:val="auto"/>
          <w:kern w:val="0"/>
          <w:sz w:val="24"/>
        </w:rPr>
      </w:pPr>
      <w:r>
        <w:rPr>
          <w:rFonts w:ascii="黑体" w:hAnsi="黑体" w:eastAsia="黑体" w:cs="黑体"/>
          <w:color w:val="auto"/>
          <w:kern w:val="0"/>
          <w:sz w:val="32"/>
          <w:szCs w:val="32"/>
        </w:rPr>
        <w:t>第三部分</w:t>
      </w:r>
      <w:r>
        <w:rPr>
          <w:rFonts w:hint="eastAsia" w:ascii="黑体" w:hAnsi="黑体" w:eastAsia="黑体" w:cs="黑体"/>
          <w:color w:val="auto"/>
          <w:kern w:val="0"/>
          <w:sz w:val="32"/>
          <w:szCs w:val="32"/>
        </w:rPr>
        <w:t xml:space="preserve">  </w:t>
      </w:r>
      <w:r>
        <w:rPr>
          <w:rFonts w:ascii="黑体" w:hAnsi="黑体" w:eastAsia="黑体" w:cs="黑体"/>
          <w:color w:val="auto"/>
          <w:kern w:val="0"/>
          <w:sz w:val="32"/>
          <w:szCs w:val="32"/>
        </w:rPr>
        <w:t>名词解释</w:t>
      </w:r>
    </w:p>
    <w:p w14:paraId="2AD47F5A">
      <w:pPr>
        <w:pStyle w:val="23"/>
        <w:widowControl/>
        <w:spacing w:line="620" w:lineRule="exact"/>
        <w:rPr>
          <w:rFonts w:eastAsia="Times New Roman"/>
          <w:color w:val="auto"/>
          <w:kern w:val="0"/>
          <w:sz w:val="24"/>
        </w:rPr>
      </w:pPr>
      <w:r>
        <w:rPr>
          <w:rFonts w:ascii="黑体" w:hAnsi="黑体" w:eastAsia="黑体" w:cs="黑体"/>
          <w:color w:val="auto"/>
          <w:kern w:val="0"/>
          <w:sz w:val="32"/>
          <w:szCs w:val="32"/>
        </w:rPr>
        <w:t>第四部分</w:t>
      </w:r>
      <w:r>
        <w:rPr>
          <w:rFonts w:hint="eastAsia" w:ascii="黑体" w:hAnsi="黑体" w:eastAsia="黑体" w:cs="黑体"/>
          <w:color w:val="auto"/>
          <w:kern w:val="0"/>
          <w:sz w:val="32"/>
          <w:szCs w:val="32"/>
        </w:rPr>
        <w:t xml:space="preserve">  </w:t>
      </w:r>
      <w:r>
        <w:rPr>
          <w:rFonts w:ascii="黑体" w:hAnsi="黑体" w:eastAsia="黑体" w:cs="黑体"/>
          <w:color w:val="auto"/>
          <w:kern w:val="0"/>
          <w:sz w:val="32"/>
          <w:szCs w:val="32"/>
        </w:rPr>
        <w:t>决算公开联系方式及信息反馈渠道</w:t>
      </w:r>
    </w:p>
    <w:p w14:paraId="261CAF30">
      <w:pPr>
        <w:pStyle w:val="23"/>
        <w:widowControl/>
        <w:spacing w:line="620" w:lineRule="exact"/>
        <w:rPr>
          <w:rFonts w:eastAsia="Times New Roman"/>
          <w:color w:val="auto"/>
          <w:kern w:val="0"/>
          <w:sz w:val="24"/>
        </w:rPr>
      </w:pPr>
      <w:r>
        <w:rPr>
          <w:rFonts w:ascii="黑体" w:hAnsi="黑体" w:eastAsia="黑体" w:cs="黑体"/>
          <w:color w:val="auto"/>
          <w:kern w:val="0"/>
          <w:sz w:val="32"/>
          <w:szCs w:val="32"/>
        </w:rPr>
        <w:t>第五部分</w:t>
      </w:r>
      <w:r>
        <w:rPr>
          <w:rFonts w:hint="eastAsia" w:ascii="黑体" w:hAnsi="黑体" w:eastAsia="黑体" w:cs="黑体"/>
          <w:color w:val="auto"/>
          <w:kern w:val="0"/>
          <w:sz w:val="32"/>
          <w:szCs w:val="32"/>
        </w:rPr>
        <w:t xml:space="preserve">  </w:t>
      </w:r>
      <w:r>
        <w:rPr>
          <w:rFonts w:ascii="黑体" w:hAnsi="黑体" w:eastAsia="黑体" w:cs="黑体"/>
          <w:color w:val="auto"/>
          <w:kern w:val="0"/>
          <w:sz w:val="32"/>
          <w:szCs w:val="32"/>
        </w:rPr>
        <w:t>单位决算表</w:t>
      </w:r>
    </w:p>
    <w:p w14:paraId="222B002E">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一、收入支出决算总表</w:t>
      </w:r>
    </w:p>
    <w:p w14:paraId="53BA76FD">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二、收入决算表</w:t>
      </w:r>
    </w:p>
    <w:p w14:paraId="2B74CE53">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三、支出决算表</w:t>
      </w:r>
    </w:p>
    <w:p w14:paraId="49C80B66">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四、财政拨款收入支出决算总表</w:t>
      </w:r>
    </w:p>
    <w:p w14:paraId="68C48A18">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五、一般公共预算财政拨款支出决算表</w:t>
      </w:r>
    </w:p>
    <w:p w14:paraId="7CE20A4E">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六、一般公共预算财政拨款基本支出决算明细表</w:t>
      </w:r>
    </w:p>
    <w:p w14:paraId="5BE8150F">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七、一般公共预算财政拨款项目支出决算明细表</w:t>
      </w:r>
    </w:p>
    <w:p w14:paraId="5146F2D3">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八、政府性基金预算财政拨款收入支出决算表</w:t>
      </w:r>
    </w:p>
    <w:p w14:paraId="28146D66">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九、国有资本经营预算财政拨款收入支出决算表</w:t>
      </w:r>
    </w:p>
    <w:p w14:paraId="09BA6383">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十、财政拨款“三公”经费支出决算表</w:t>
      </w:r>
    </w:p>
    <w:p w14:paraId="7E0727E2">
      <w:pPr>
        <w:pStyle w:val="23"/>
        <w:widowControl/>
        <w:spacing w:line="62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十一、机关运行经费支出、国有资产占用情况及政府采购支出信息表</w:t>
      </w:r>
    </w:p>
    <w:p w14:paraId="7FB35F4E">
      <w:pPr>
        <w:widowControl/>
        <w:spacing w:before="312" w:after="312"/>
        <w:jc w:val="left"/>
        <w:rPr>
          <w:rFonts w:ascii="仿宋_GB2312" w:hAnsi="仿宋_GB2312" w:eastAsia="仿宋_GB2312" w:cs="仿宋_GB2312"/>
          <w:b/>
          <w:bCs/>
          <w:color w:val="auto"/>
          <w:kern w:val="0"/>
        </w:rPr>
        <w:sectPr>
          <w:pgSz w:w="11907" w:h="16839"/>
          <w:pgMar w:top="1440" w:right="1797" w:bottom="1440" w:left="1797" w:header="851" w:footer="992" w:gutter="0"/>
          <w:pgNumType w:fmt="numberInDash" w:start="1"/>
          <w:cols w:space="425" w:num="1"/>
          <w:docGrid w:type="lines" w:linePitch="312" w:charSpace="0"/>
        </w:sectPr>
      </w:pPr>
    </w:p>
    <w:p w14:paraId="23BDE530">
      <w:pPr>
        <w:pStyle w:val="4"/>
        <w:keepNext w:val="0"/>
        <w:keepLines w:val="0"/>
        <w:widowControl/>
        <w:spacing w:before="0" w:after="0" w:line="600" w:lineRule="exact"/>
        <w:jc w:val="center"/>
        <w:rPr>
          <w:rFonts w:ascii="仿宋_GB2312" w:hAnsi="仿宋_GB2312" w:eastAsia="仿宋_GB2312" w:cs="仿宋_GB2312"/>
          <w:b w:val="0"/>
          <w:bCs w:val="0"/>
          <w:color w:val="auto"/>
          <w:kern w:val="0"/>
        </w:rPr>
      </w:pPr>
    </w:p>
    <w:p w14:paraId="47E25DC1">
      <w:pPr>
        <w:pStyle w:val="4"/>
        <w:keepNext w:val="0"/>
        <w:keepLines w:val="0"/>
        <w:widowControl/>
        <w:spacing w:before="0" w:after="0" w:line="600" w:lineRule="exact"/>
        <w:jc w:val="center"/>
        <w:rPr>
          <w:rFonts w:ascii="方正小标宋简体" w:hAnsi="方正小标宋简体" w:eastAsia="方正小标宋简体" w:cs="方正小标宋简体"/>
          <w:color w:val="auto"/>
          <w:kern w:val="0"/>
          <w:sz w:val="36"/>
          <w:szCs w:val="36"/>
        </w:rPr>
      </w:pPr>
      <w:r>
        <w:rPr>
          <w:rFonts w:hint="eastAsia" w:ascii="方正小标宋简体" w:hAnsi="方正小标宋简体" w:eastAsia="方正小标宋简体" w:cs="方正小标宋简体"/>
          <w:b w:val="0"/>
          <w:bCs w:val="0"/>
          <w:color w:val="auto"/>
          <w:kern w:val="0"/>
          <w:sz w:val="36"/>
          <w:szCs w:val="36"/>
        </w:rPr>
        <w:t>第一部分</w:t>
      </w:r>
      <w:r>
        <w:rPr>
          <w:rFonts w:hint="eastAsia" w:ascii="黑体" w:hAnsi="黑体" w:cs="黑体"/>
          <w:b w:val="0"/>
          <w:bCs w:val="0"/>
          <w:color w:val="auto"/>
          <w:kern w:val="0"/>
        </w:rPr>
        <w:t xml:space="preserve">  </w:t>
      </w:r>
      <w:r>
        <w:rPr>
          <w:rFonts w:hint="eastAsia" w:ascii="方正小标宋简体" w:hAnsi="方正小标宋简体" w:eastAsia="方正小标宋简体" w:cs="方正小标宋简体"/>
          <w:b w:val="0"/>
          <w:bCs w:val="0"/>
          <w:color w:val="auto"/>
          <w:kern w:val="0"/>
          <w:sz w:val="36"/>
          <w:szCs w:val="36"/>
        </w:rPr>
        <w:t>单位概况</w:t>
      </w:r>
    </w:p>
    <w:p w14:paraId="3E5F6E4A">
      <w:pPr>
        <w:pStyle w:val="23"/>
        <w:widowControl/>
        <w:spacing w:line="600" w:lineRule="exact"/>
        <w:ind w:firstLine="643"/>
        <w:rPr>
          <w:rFonts w:hint="eastAsia" w:ascii="黑体" w:hAnsi="黑体" w:eastAsia="黑体" w:cs="黑体"/>
          <w:b/>
          <w:bCs/>
          <w:color w:val="auto"/>
          <w:kern w:val="0"/>
          <w:sz w:val="32"/>
          <w:szCs w:val="32"/>
        </w:rPr>
      </w:pPr>
    </w:p>
    <w:p w14:paraId="215A4EBE">
      <w:pPr>
        <w:pStyle w:val="23"/>
        <w:widowControl/>
        <w:spacing w:line="600" w:lineRule="exact"/>
        <w:ind w:firstLine="643"/>
        <w:rPr>
          <w:rFonts w:ascii="黑体" w:hAnsi="黑体" w:eastAsia="黑体" w:cs="黑体"/>
          <w:color w:val="auto"/>
          <w:kern w:val="0"/>
          <w:sz w:val="32"/>
          <w:szCs w:val="32"/>
        </w:rPr>
      </w:pPr>
      <w:r>
        <w:rPr>
          <w:rFonts w:hint="eastAsia" w:ascii="黑体" w:hAnsi="黑体" w:eastAsia="黑体" w:cs="黑体"/>
          <w:bCs/>
          <w:color w:val="auto"/>
          <w:kern w:val="0"/>
          <w:sz w:val="32"/>
          <w:szCs w:val="32"/>
        </w:rPr>
        <w:t>一、主要职能、职责</w:t>
      </w:r>
    </w:p>
    <w:p w14:paraId="3378080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人民检察院是国家的法律监督机关。自治区人民检察院的主要任务是领导全区各级人民检察院依法履行法律监督职能，对自治区人民代表大会和自治区人民代表大会常务委员会负责并报告工作，其主要职责是：</w:t>
      </w:r>
    </w:p>
    <w:p w14:paraId="337BD714">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依法向自治区人民代表大会和自治区人民代表大会常务委员会提出议案，接受自治区人民代表大会及其常务委员会的监督。接受最高人民检察院的领导，贯彻执行最高人民检察院关于检察工作的指示、决定。领导全区各级人民检察院的工作，研究部署检察工作任务。</w:t>
      </w:r>
    </w:p>
    <w:p w14:paraId="66C4613F">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2</w:t>
      </w:r>
      <w:r>
        <w:rPr>
          <w:rFonts w:hint="eastAsia" w:ascii="仿宋_GB2312" w:hAnsi="仿宋_GB2312" w:eastAsia="仿宋_GB2312" w:cs="仿宋_GB2312"/>
          <w:color w:val="auto"/>
          <w:kern w:val="0"/>
          <w:sz w:val="32"/>
          <w:szCs w:val="32"/>
        </w:rPr>
        <w:t>）对叛国、分裂国家以及严重破坏国家的政策、法律、法令、政令统一实施的重大犯罪案件，依法行使检察权。</w:t>
      </w:r>
    </w:p>
    <w:p w14:paraId="210D1161">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3</w:t>
      </w:r>
      <w:r>
        <w:rPr>
          <w:rFonts w:hint="eastAsia" w:ascii="仿宋_GB2312" w:hAnsi="仿宋_GB2312" w:eastAsia="仿宋_GB2312" w:cs="仿宋_GB2312"/>
          <w:color w:val="auto"/>
          <w:kern w:val="0"/>
          <w:sz w:val="32"/>
          <w:szCs w:val="32"/>
        </w:rPr>
        <w:t>）依法对国家机关工作人员利用职权实施的非法拘禁、刑讯逼供、报复陷害、非法搜查的侵犯公民人身权利与侵犯公民民主权利的犯罪，以及国家机关工作人员利用职权实施的其他重大犯罪案件进行侦查，领导全区各级人民检察院的侦查工作。</w:t>
      </w:r>
    </w:p>
    <w:p w14:paraId="594E8E2E">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4</w:t>
      </w:r>
      <w:r>
        <w:rPr>
          <w:rFonts w:hint="eastAsia" w:ascii="仿宋_GB2312" w:hAnsi="仿宋_GB2312" w:eastAsia="仿宋_GB2312" w:cs="仿宋_GB2312"/>
          <w:color w:val="auto"/>
          <w:kern w:val="0"/>
          <w:sz w:val="32"/>
          <w:szCs w:val="32"/>
        </w:rPr>
        <w:t>）对全区性的重大刑事案件依法审查批准逮捕、决定逮捕、提起公诉；领导全区各级人民检察院开展对刑事犯罪案件的审查批准逮捕、决定逮捕、提起公诉工作。</w:t>
      </w:r>
    </w:p>
    <w:p w14:paraId="5E09229B">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5</w:t>
      </w:r>
      <w:r>
        <w:rPr>
          <w:rFonts w:hint="eastAsia" w:ascii="仿宋_GB2312" w:hAnsi="仿宋_GB2312" w:eastAsia="仿宋_GB2312" w:cs="仿宋_GB2312"/>
          <w:color w:val="auto"/>
          <w:kern w:val="0"/>
          <w:sz w:val="32"/>
          <w:szCs w:val="32"/>
        </w:rPr>
        <w:t>）领导全区各级人民检察院依法对刑事诉讼、民事审判、行政诉讼和公益诉讼实行法律监督工作。</w:t>
      </w:r>
    </w:p>
    <w:p w14:paraId="2AD979EE">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6</w:t>
      </w:r>
      <w:r>
        <w:rPr>
          <w:rFonts w:hint="eastAsia" w:ascii="仿宋_GB2312" w:hAnsi="仿宋_GB2312" w:eastAsia="仿宋_GB2312" w:cs="仿宋_GB2312"/>
          <w:color w:val="auto"/>
          <w:kern w:val="0"/>
          <w:sz w:val="32"/>
          <w:szCs w:val="32"/>
        </w:rPr>
        <w:t>）领导全区各级人民检察院依法对执行机关执行刑罚的活动是否合法实行监督。</w:t>
      </w:r>
    </w:p>
    <w:p w14:paraId="5A3A50A4">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7</w:t>
      </w:r>
      <w:r>
        <w:rPr>
          <w:rFonts w:hint="eastAsia" w:ascii="仿宋_GB2312" w:hAnsi="仿宋_GB2312" w:eastAsia="仿宋_GB2312" w:cs="仿宋_GB2312"/>
          <w:color w:val="auto"/>
          <w:kern w:val="0"/>
          <w:sz w:val="32"/>
          <w:szCs w:val="32"/>
        </w:rPr>
        <w:t>）对全区各级人民法院已经发生法律效力、确有错误的判决和裁定，依法向自治区高级人民法院提起抗诉。</w:t>
      </w:r>
    </w:p>
    <w:p w14:paraId="3B35FA47">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8</w:t>
      </w:r>
      <w:r>
        <w:rPr>
          <w:rFonts w:hint="eastAsia" w:ascii="仿宋_GB2312" w:hAnsi="仿宋_GB2312" w:eastAsia="仿宋_GB2312" w:cs="仿宋_GB2312"/>
          <w:color w:val="auto"/>
          <w:kern w:val="0"/>
          <w:sz w:val="32"/>
          <w:szCs w:val="32"/>
        </w:rPr>
        <w:t>）对全区各级人民检察院在行使检察权中作出的决定进行审查，纠正错误决定。</w:t>
      </w:r>
    </w:p>
    <w:p w14:paraId="1C650A1B">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9</w:t>
      </w:r>
      <w:r>
        <w:rPr>
          <w:rFonts w:hint="eastAsia" w:ascii="仿宋_GB2312" w:hAnsi="仿宋_GB2312" w:eastAsia="仿宋_GB2312" w:cs="仿宋_GB2312"/>
          <w:color w:val="auto"/>
          <w:kern w:val="0"/>
          <w:sz w:val="32"/>
          <w:szCs w:val="32"/>
        </w:rPr>
        <w:t>）受理单位和个人的报案、控告、申诉、举报以及犯罪嫌疑人的自首，并领导全区检察机关的举报工作。</w:t>
      </w:r>
    </w:p>
    <w:p w14:paraId="4B9D31B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10</w:t>
      </w:r>
      <w:r>
        <w:rPr>
          <w:rFonts w:hint="eastAsia" w:ascii="仿宋_GB2312" w:hAnsi="仿宋_GB2312" w:eastAsia="仿宋_GB2312" w:cs="仿宋_GB2312"/>
          <w:color w:val="auto"/>
          <w:kern w:val="0"/>
          <w:sz w:val="32"/>
          <w:szCs w:val="32"/>
        </w:rPr>
        <w:t>）负责对法律规定由自治区检察院办理的司法工作人员利用职权实施的非法拘禁、刑讯逼供、非法搜查等侵犯公民权利、损害司法公正犯罪，以及按照刑事诉讼法规定需要由人民检察院直接受理的其他重大犯罪案件的侦查。指导全区各级人民检察院开展相关工作。</w:t>
      </w:r>
    </w:p>
    <w:p w14:paraId="65358033">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11</w:t>
      </w:r>
      <w:r>
        <w:rPr>
          <w:rFonts w:hint="eastAsia" w:ascii="仿宋_GB2312" w:hAnsi="仿宋_GB2312" w:eastAsia="仿宋_GB2312" w:cs="仿宋_GB2312"/>
          <w:color w:val="auto"/>
          <w:kern w:val="0"/>
          <w:sz w:val="32"/>
          <w:szCs w:val="32"/>
        </w:rPr>
        <w:t>）指导全区检察机关的检察技术信息工作。</w:t>
      </w:r>
    </w:p>
    <w:p w14:paraId="324C625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12</w:t>
      </w:r>
      <w:r>
        <w:rPr>
          <w:rFonts w:hint="eastAsia" w:ascii="仿宋_GB2312" w:hAnsi="仿宋_GB2312" w:eastAsia="仿宋_GB2312" w:cs="仿宋_GB2312"/>
          <w:color w:val="auto"/>
          <w:kern w:val="0"/>
          <w:sz w:val="32"/>
          <w:szCs w:val="32"/>
        </w:rPr>
        <w:t>）负责全区检察机关队伍建设和思想政治工作；领导全区各级人民检察院依法管理检察官及其他检察人员的工作；协同自治区机构编制部门管理人民检察院的机构设置及人员编制。组织指导全区检察机关的教育培训工作。</w:t>
      </w:r>
    </w:p>
    <w:p w14:paraId="3EABA8ED">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13</w:t>
      </w:r>
      <w:r>
        <w:rPr>
          <w:rFonts w:hint="eastAsia" w:ascii="仿宋_GB2312" w:hAnsi="仿宋_GB2312" w:eastAsia="仿宋_GB2312" w:cs="仿宋_GB2312"/>
          <w:color w:val="auto"/>
          <w:kern w:val="0"/>
          <w:sz w:val="32"/>
          <w:szCs w:val="32"/>
        </w:rPr>
        <w:t>）协助自治区党委和盟市党委做好盟市、旗县（市区）检察院领导干部的培养、选拔、管理和领导班子建设工作。提请自治区人民代表大会常务委员会批准任免设区市及盟所属旗县市区检察院检察长，提请任免盟分院、派出及直属检察院检察长、副检察长、检委会委员、检察员等法律职务；建议自治区人民代表大会常务委员会撤换下级人民检察院检察长、副检察长和检察委员会委员。</w:t>
      </w:r>
    </w:p>
    <w:p w14:paraId="412955B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14</w:t>
      </w:r>
      <w:r>
        <w:rPr>
          <w:rFonts w:hint="eastAsia" w:ascii="仿宋_GB2312" w:hAnsi="仿宋_GB2312" w:eastAsia="仿宋_GB2312" w:cs="仿宋_GB2312"/>
          <w:color w:val="auto"/>
          <w:kern w:val="0"/>
          <w:sz w:val="32"/>
          <w:szCs w:val="32"/>
        </w:rPr>
        <w:t>）规划和指导全区检察机关的财务装备工作。</w:t>
      </w:r>
    </w:p>
    <w:p w14:paraId="0259B054">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15</w:t>
      </w:r>
      <w:r>
        <w:rPr>
          <w:rFonts w:hint="eastAsia" w:ascii="仿宋_GB2312" w:hAnsi="仿宋_GB2312" w:eastAsia="仿宋_GB2312" w:cs="仿宋_GB2312"/>
          <w:color w:val="auto"/>
          <w:kern w:val="0"/>
          <w:sz w:val="32"/>
          <w:szCs w:val="32"/>
        </w:rPr>
        <w:t>）管理直属单位的领导干部；审批直属事业单位的工作计划和发展规划。</w:t>
      </w:r>
    </w:p>
    <w:p w14:paraId="77F091D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w:t>
      </w:r>
      <w:r>
        <w:rPr>
          <w:rFonts w:eastAsia="仿宋_GB2312"/>
          <w:color w:val="auto"/>
          <w:kern w:val="0"/>
          <w:sz w:val="32"/>
          <w:szCs w:val="32"/>
        </w:rPr>
        <w:t>16</w:t>
      </w:r>
      <w:r>
        <w:rPr>
          <w:rFonts w:hint="eastAsia" w:ascii="仿宋_GB2312" w:hAnsi="仿宋_GB2312" w:eastAsia="仿宋_GB2312" w:cs="仿宋_GB2312"/>
          <w:color w:val="auto"/>
          <w:kern w:val="0"/>
          <w:sz w:val="32"/>
          <w:szCs w:val="32"/>
        </w:rPr>
        <w:t>）负责其他应当由自治区人民检察院承办的事项。</w:t>
      </w:r>
    </w:p>
    <w:p w14:paraId="69147E97">
      <w:pPr>
        <w:pStyle w:val="23"/>
        <w:widowControl/>
        <w:spacing w:line="600" w:lineRule="exact"/>
        <w:ind w:firstLine="643"/>
        <w:rPr>
          <w:rFonts w:ascii="黑体" w:hAnsi="黑体" w:eastAsia="黑体" w:cs="黑体"/>
          <w:color w:val="auto"/>
          <w:kern w:val="0"/>
          <w:sz w:val="32"/>
          <w:szCs w:val="32"/>
        </w:rPr>
      </w:pPr>
      <w:r>
        <w:rPr>
          <w:rFonts w:hint="eastAsia" w:ascii="黑体" w:hAnsi="黑体" w:eastAsia="黑体" w:cs="黑体"/>
          <w:bCs/>
          <w:color w:val="auto"/>
          <w:kern w:val="0"/>
          <w:sz w:val="32"/>
          <w:szCs w:val="32"/>
        </w:rPr>
        <w:t>二、单位机构设置及决算单位构成情况</w:t>
      </w:r>
    </w:p>
    <w:p w14:paraId="59963F9D">
      <w:pPr>
        <w:widowControl/>
        <w:spacing w:line="600" w:lineRule="exact"/>
        <w:rPr>
          <w:rFonts w:ascii="仿宋_GB2312" w:hAnsi="仿宋_GB2312" w:eastAsia="仿宋_GB2312" w:cs="仿宋_GB2312"/>
          <w:color w:val="auto"/>
          <w:kern w:val="0"/>
          <w:sz w:val="32"/>
          <w:szCs w:val="32"/>
        </w:rPr>
      </w:pPr>
      <w:r>
        <w:rPr>
          <w:rFonts w:hint="eastAsia" w:eastAsia="仿宋_GB2312" w:cs="仿宋_GB2312"/>
          <w:color w:val="auto"/>
          <w:kern w:val="0"/>
          <w:sz w:val="32"/>
          <w:szCs w:val="32"/>
        </w:rPr>
        <w:t xml:space="preserve">    </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 根据单位职责分工，本单位内设机构包括办公室（新闻办公室）、政治部综合处、政治部干部处、政治部宣传处、政治部教育培训处、第一检察部、第二检察部、第三检察部、第四检察部、第五检察部、第六检察部、第七检察部、第八检察部、第九检察部、第十检察部、第十一检察部、法律政策研究室、案件管理办公室（人民监督员办公室）、检察技术信息处、法警总队、翻译处、检务督察处（巡视工作领导小组办公室）、计划财务装备局、机关党委、离退休人员工作处共</w:t>
      </w:r>
      <w:r>
        <w:rPr>
          <w:rFonts w:eastAsia="仿宋_GB2312"/>
          <w:color w:val="auto"/>
          <w:kern w:val="0"/>
          <w:sz w:val="32"/>
          <w:szCs w:val="32"/>
        </w:rPr>
        <w:t>25</w:t>
      </w:r>
      <w:r>
        <w:rPr>
          <w:rFonts w:hint="eastAsia" w:ascii="仿宋_GB2312" w:hAnsi="仿宋_GB2312" w:eastAsia="仿宋_GB2312" w:cs="仿宋_GB2312"/>
          <w:color w:val="auto"/>
          <w:kern w:val="0"/>
          <w:sz w:val="32"/>
          <w:szCs w:val="32"/>
        </w:rPr>
        <w:t>个部门。本单位无下属单位。</w:t>
      </w:r>
    </w:p>
    <w:p w14:paraId="26E59358">
      <w:pPr>
        <w:widowControl/>
        <w:spacing w:line="600" w:lineRule="exact"/>
        <w:ind w:firstLine="640" w:firstLineChars="200"/>
        <w:rPr>
          <w:rFonts w:ascii="仿宋_GB2312" w:hAnsi="仿宋_GB2312" w:eastAsia="仿宋_GB2312" w:cs="仿宋_GB2312"/>
          <w:color w:val="auto"/>
          <w:kern w:val="0"/>
          <w:sz w:val="32"/>
          <w:szCs w:val="32"/>
        </w:rPr>
      </w:pPr>
      <w:r>
        <w:rPr>
          <w:rFonts w:eastAsia="仿宋_GB2312"/>
          <w:color w:val="auto"/>
          <w:kern w:val="0"/>
          <w:sz w:val="32"/>
          <w:szCs w:val="32"/>
        </w:rPr>
        <w:t>2</w:t>
      </w:r>
      <w:r>
        <w:rPr>
          <w:rFonts w:hint="eastAsia" w:ascii="仿宋_GB2312" w:hAnsi="仿宋_GB2312" w:eastAsia="仿宋_GB2312" w:cs="仿宋_GB2312"/>
          <w:color w:val="auto"/>
          <w:kern w:val="0"/>
          <w:sz w:val="32"/>
          <w:szCs w:val="32"/>
        </w:rPr>
        <w:t>. 从决算单位构成看，纳入本财政汇总决算编制范围的预算单位共计</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家，具体包括：内蒙古自治区人民检察院本级。详细情况见表：</w:t>
      </w:r>
    </w:p>
    <w:p w14:paraId="4949FDA4">
      <w:pPr>
        <w:pStyle w:val="2"/>
        <w:rPr>
          <w:color w:val="auto"/>
          <w:kern w:val="0"/>
        </w:rPr>
      </w:pPr>
      <w:r>
        <w:rPr>
          <w:color w:val="auto"/>
          <w:kern w:val="0"/>
        </w:rPr>
        <w:br w:type="page"/>
      </w:r>
    </w:p>
    <w:tbl>
      <w:tblPr>
        <w:tblStyle w:val="11"/>
        <w:tblW w:w="8260" w:type="dxa"/>
        <w:jc w:val="center"/>
        <w:tblCellSpacing w:w="1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281"/>
        <w:gridCol w:w="4169"/>
        <w:gridCol w:w="2810"/>
      </w:tblGrid>
      <w:tr w14:paraId="19DF6D6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609" w:hRule="atLeast"/>
          <w:tblHeader/>
          <w:tblCellSpacing w:w="15" w:type="dxa"/>
          <w:jc w:val="center"/>
        </w:trPr>
        <w:tc>
          <w:tcPr>
            <w:tcW w:w="1236" w:type="dxa"/>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292A789F">
            <w:pPr>
              <w:widowControl/>
              <w:spacing w:line="580" w:lineRule="exact"/>
              <w:jc w:val="center"/>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序号</w:t>
            </w:r>
          </w:p>
        </w:tc>
        <w:tc>
          <w:tcPr>
            <w:tcW w:w="4139" w:type="dxa"/>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59F8754F">
            <w:pPr>
              <w:widowControl/>
              <w:spacing w:line="580" w:lineRule="exact"/>
              <w:jc w:val="center"/>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单位名称</w:t>
            </w:r>
          </w:p>
        </w:tc>
        <w:tc>
          <w:tcPr>
            <w:tcW w:w="2765" w:type="dxa"/>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136E4F95">
            <w:pPr>
              <w:widowControl/>
              <w:spacing w:line="580" w:lineRule="exact"/>
              <w:jc w:val="center"/>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单位性质</w:t>
            </w:r>
          </w:p>
        </w:tc>
      </w:tr>
      <w:tr w14:paraId="0B0B360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609" w:hRule="atLeast"/>
          <w:tblCellSpacing w:w="15" w:type="dxa"/>
          <w:jc w:val="center"/>
        </w:trPr>
        <w:tc>
          <w:tcPr>
            <w:tcW w:w="1236" w:type="dxa"/>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5093ED3C">
            <w:pPr>
              <w:widowControl/>
              <w:spacing w:line="580" w:lineRule="exact"/>
              <w:jc w:val="center"/>
              <w:rPr>
                <w:rFonts w:eastAsia="仿宋_GB2312"/>
                <w:color w:val="auto"/>
                <w:kern w:val="0"/>
                <w:sz w:val="32"/>
                <w:szCs w:val="32"/>
              </w:rPr>
            </w:pPr>
            <w:r>
              <w:rPr>
                <w:rFonts w:eastAsia="仿宋_GB2312"/>
                <w:color w:val="auto"/>
                <w:kern w:val="0"/>
                <w:sz w:val="32"/>
                <w:szCs w:val="32"/>
              </w:rPr>
              <w:t>1</w:t>
            </w:r>
          </w:p>
        </w:tc>
        <w:tc>
          <w:tcPr>
            <w:tcW w:w="4139" w:type="dxa"/>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6094F19D">
            <w:pPr>
              <w:widowControl/>
              <w:spacing w:line="580" w:lineRule="exact"/>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w:t>
            </w:r>
          </w:p>
        </w:tc>
        <w:tc>
          <w:tcPr>
            <w:tcW w:w="2765" w:type="dxa"/>
            <w:tcBorders>
              <w:top w:val="inset" w:color="808080" w:sz="6" w:space="0"/>
              <w:left w:val="inset" w:color="808080" w:sz="6" w:space="0"/>
              <w:bottom w:val="inset" w:color="808080" w:sz="6" w:space="0"/>
              <w:right w:val="inset" w:color="808080" w:sz="6" w:space="0"/>
            </w:tcBorders>
            <w:noWrap/>
            <w:tcMar>
              <w:top w:w="22" w:type="dxa"/>
              <w:left w:w="22" w:type="dxa"/>
              <w:bottom w:w="22" w:type="dxa"/>
              <w:right w:w="22" w:type="dxa"/>
            </w:tcMar>
            <w:vAlign w:val="center"/>
          </w:tcPr>
          <w:p w14:paraId="620FF394">
            <w:pPr>
              <w:widowControl/>
              <w:spacing w:line="580" w:lineRule="exact"/>
              <w:jc w:val="left"/>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行政单位</w:t>
            </w:r>
          </w:p>
        </w:tc>
      </w:tr>
    </w:tbl>
    <w:p w14:paraId="257EAA12">
      <w:pPr>
        <w:pStyle w:val="23"/>
        <w:widowControl/>
        <w:spacing w:beforeLines="50" w:line="600" w:lineRule="exact"/>
        <w:ind w:firstLine="641"/>
        <w:rPr>
          <w:rFonts w:ascii="黑体" w:hAnsi="黑体" w:eastAsia="黑体" w:cs="黑体"/>
          <w:color w:val="auto"/>
          <w:kern w:val="0"/>
          <w:sz w:val="32"/>
          <w:szCs w:val="32"/>
        </w:rPr>
      </w:pPr>
      <w:r>
        <w:rPr>
          <w:rFonts w:hint="eastAsia" w:ascii="黑体" w:hAnsi="黑体" w:eastAsia="黑体" w:cs="黑体"/>
          <w:bCs/>
          <w:color w:val="auto"/>
          <w:kern w:val="0"/>
          <w:sz w:val="32"/>
          <w:szCs w:val="32"/>
        </w:rPr>
        <w:t>三、</w:t>
      </w:r>
      <w:r>
        <w:rPr>
          <w:rFonts w:eastAsia="黑体"/>
          <w:bCs/>
          <w:color w:val="auto"/>
          <w:kern w:val="0"/>
          <w:sz w:val="32"/>
          <w:szCs w:val="32"/>
        </w:rPr>
        <w:t>2025</w:t>
      </w:r>
      <w:r>
        <w:rPr>
          <w:rFonts w:hint="eastAsia" w:ascii="黑体" w:hAnsi="黑体" w:eastAsia="黑体" w:cs="黑体"/>
          <w:bCs/>
          <w:color w:val="auto"/>
          <w:kern w:val="0"/>
          <w:sz w:val="32"/>
          <w:szCs w:val="32"/>
        </w:rPr>
        <w:t>年度单位主要工作完成情况</w:t>
      </w:r>
    </w:p>
    <w:p w14:paraId="307BDA4E">
      <w:pPr>
        <w:widowControl/>
        <w:spacing w:line="600" w:lineRule="exact"/>
        <w:ind w:firstLine="640" w:firstLineChars="200"/>
        <w:rPr>
          <w:rFonts w:ascii="仿宋_GB2312" w:hAnsi="仿宋_GB2312" w:eastAsia="仿宋_GB2312" w:cs="仿宋_GB2312"/>
          <w:color w:val="auto"/>
          <w:kern w:val="0"/>
          <w:sz w:val="32"/>
          <w:szCs w:val="32"/>
        </w:rPr>
      </w:pP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全区检察机关坚持以习近平新时代中国特色社会主义思想为指导，认真贯彻落实习近平总书记对内蒙古系列重要讲话重要指示精神，全面落实《中共中央关于加强新时代政法工作的意见》，以铸牢中华民族共同体意识为主线，聚焦“两个屏障”“两个基地”“一个桥头堡”建设，锚定“三年一大变”工作目标，坚持“高质效办好每一个案件”，自觉为大局服务、为人民司法、为法治担当，各项检察工作取得新成效。</w:t>
      </w:r>
    </w:p>
    <w:p w14:paraId="1B6680DB">
      <w:pPr>
        <w:widowControl/>
        <w:spacing w:line="600" w:lineRule="exact"/>
        <w:ind w:firstLine="640" w:firstLineChars="200"/>
        <w:rPr>
          <w:rFonts w:eastAsia="楷体_GB2312"/>
          <w:bCs/>
          <w:color w:val="auto"/>
          <w:kern w:val="0"/>
          <w:sz w:val="32"/>
          <w:szCs w:val="32"/>
        </w:rPr>
      </w:pPr>
      <w:r>
        <w:rPr>
          <w:rFonts w:eastAsia="楷体_GB2312"/>
          <w:bCs/>
          <w:color w:val="auto"/>
          <w:kern w:val="0"/>
          <w:sz w:val="32"/>
          <w:szCs w:val="32"/>
        </w:rPr>
        <w:t>1.</w:t>
      </w:r>
      <w:r>
        <w:rPr>
          <w:rFonts w:hint="eastAsia" w:eastAsia="楷体_GB2312"/>
          <w:bCs/>
          <w:color w:val="auto"/>
          <w:kern w:val="0"/>
          <w:sz w:val="32"/>
          <w:szCs w:val="32"/>
        </w:rPr>
        <w:t xml:space="preserve"> </w:t>
      </w:r>
      <w:r>
        <w:rPr>
          <w:rFonts w:eastAsia="楷体_GB2312"/>
          <w:bCs/>
          <w:color w:val="auto"/>
          <w:kern w:val="0"/>
          <w:sz w:val="32"/>
          <w:szCs w:val="32"/>
        </w:rPr>
        <w:t>持续凝心铸魂，把牢正确政治方向</w:t>
      </w:r>
    </w:p>
    <w:p w14:paraId="73DA37B8">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）强化理论武装。</w:t>
      </w:r>
      <w:r>
        <w:rPr>
          <w:rFonts w:hint="eastAsia" w:ascii="仿宋_GB2312" w:hAnsi="仿宋_GB2312" w:eastAsia="仿宋_GB2312" w:cs="仿宋_GB2312"/>
          <w:color w:val="auto"/>
          <w:kern w:val="0"/>
          <w:sz w:val="32"/>
          <w:szCs w:val="32"/>
        </w:rPr>
        <w:t>巩固拓展主题教育成果，认真落实“第一议题”制度，召开党组会</w:t>
      </w:r>
      <w:r>
        <w:rPr>
          <w:rFonts w:eastAsia="仿宋_GB2312"/>
          <w:color w:val="auto"/>
          <w:kern w:val="0"/>
          <w:sz w:val="32"/>
          <w:szCs w:val="32"/>
        </w:rPr>
        <w:t>37</w:t>
      </w:r>
      <w:r>
        <w:rPr>
          <w:rFonts w:hint="eastAsia" w:ascii="仿宋_GB2312" w:hAnsi="仿宋_GB2312" w:eastAsia="仿宋_GB2312" w:cs="仿宋_GB2312"/>
          <w:color w:val="auto"/>
          <w:kern w:val="0"/>
          <w:sz w:val="32"/>
          <w:szCs w:val="32"/>
        </w:rPr>
        <w:t>次、中心组学习会</w:t>
      </w:r>
      <w:r>
        <w:rPr>
          <w:rFonts w:eastAsia="仿宋_GB2312"/>
          <w:color w:val="auto"/>
          <w:kern w:val="0"/>
          <w:sz w:val="32"/>
          <w:szCs w:val="32"/>
        </w:rPr>
        <w:t>12</w:t>
      </w:r>
      <w:r>
        <w:rPr>
          <w:rFonts w:hint="eastAsia" w:ascii="仿宋_GB2312" w:hAnsi="仿宋_GB2312" w:eastAsia="仿宋_GB2312" w:cs="仿宋_GB2312"/>
          <w:color w:val="auto"/>
          <w:kern w:val="0"/>
          <w:sz w:val="32"/>
          <w:szCs w:val="32"/>
        </w:rPr>
        <w:t>次，研讨交流</w:t>
      </w:r>
      <w:r>
        <w:rPr>
          <w:rFonts w:eastAsia="仿宋_GB2312"/>
          <w:color w:val="auto"/>
          <w:kern w:val="0"/>
          <w:sz w:val="32"/>
          <w:szCs w:val="32"/>
        </w:rPr>
        <w:t>8</w:t>
      </w:r>
      <w:r>
        <w:rPr>
          <w:rFonts w:hint="eastAsia" w:ascii="仿宋_GB2312" w:hAnsi="仿宋_GB2312" w:eastAsia="仿宋_GB2312" w:cs="仿宋_GB2312"/>
          <w:color w:val="auto"/>
          <w:kern w:val="0"/>
          <w:sz w:val="32"/>
          <w:szCs w:val="32"/>
        </w:rPr>
        <w:t>次，全覆盖举办政治轮训班、读书班，原原本本学讲话、学指示、学思想，持续擦亮坚定拥护“两个确立”、坚决做到“两个维护”的鲜明政治底色。举办专题讲座，深学细悟党的二十届四中全会精神。李永君同志深入乡村振兴联系点，围绕扎实推进乡村全面振兴，宣讲党的二十届四中全会精神。</w:t>
      </w:r>
    </w:p>
    <w:p w14:paraId="356B37EC">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cs="仿宋_GB2312"/>
          <w:b/>
          <w:color w:val="auto"/>
          <w:kern w:val="0"/>
          <w:sz w:val="32"/>
          <w:szCs w:val="32"/>
        </w:rPr>
        <w:t>）抓实学习教育。</w:t>
      </w:r>
      <w:r>
        <w:rPr>
          <w:rFonts w:hint="eastAsia" w:ascii="仿宋_GB2312" w:hAnsi="仿宋_GB2312" w:eastAsia="仿宋_GB2312" w:cs="仿宋_GB2312"/>
          <w:color w:val="auto"/>
          <w:kern w:val="0"/>
          <w:sz w:val="32"/>
          <w:szCs w:val="32"/>
        </w:rPr>
        <w:t>全面梳理现有制度，制定下发《机关政务工作指南》，进一步规范办文、办会、调研等工作；围绕财经纪律、“三公”经费使用等开展专项监督，推动形成用制度管人、管事的长效机制。</w:t>
      </w:r>
    </w:p>
    <w:p w14:paraId="70DDD785">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cs="仿宋_GB2312"/>
          <w:b/>
          <w:color w:val="auto"/>
          <w:kern w:val="0"/>
          <w:sz w:val="32"/>
          <w:szCs w:val="32"/>
        </w:rPr>
        <w:t>）全力配合巡视。</w:t>
      </w:r>
      <w:r>
        <w:rPr>
          <w:rFonts w:hint="eastAsia" w:ascii="仿宋_GB2312" w:hAnsi="仿宋_GB2312" w:eastAsia="仿宋_GB2312" w:cs="仿宋_GB2312"/>
          <w:color w:val="auto"/>
          <w:kern w:val="0"/>
          <w:sz w:val="32"/>
          <w:szCs w:val="32"/>
        </w:rPr>
        <w:t>第一时间向党委及政法委报告最高检巡视安排，制定方案，组建专班，明确责任分工，持续做好对接联络、材料起草、后勤保障等工作，传达学习最高检、自治党委领导指示和相关会议精神，深刻领会巡视工作要求。以严的标准、实的作风配合巡视组完成听取汇报、个别谈话、调阅材料、受理信访反映和下沉调研等项工作，确保巡视组了解真实情况、发现实际问题。坚决立行立改巡视阶段性反馈的</w:t>
      </w:r>
      <w:r>
        <w:rPr>
          <w:rFonts w:eastAsia="仿宋_GB2312"/>
          <w:color w:val="auto"/>
          <w:kern w:val="0"/>
          <w:sz w:val="32"/>
          <w:szCs w:val="32"/>
        </w:rPr>
        <w:t>7</w:t>
      </w:r>
      <w:r>
        <w:rPr>
          <w:rFonts w:hint="eastAsia" w:ascii="仿宋_GB2312" w:hAnsi="仿宋_GB2312" w:eastAsia="仿宋_GB2312" w:cs="仿宋_GB2312"/>
          <w:color w:val="auto"/>
          <w:kern w:val="0"/>
          <w:sz w:val="32"/>
          <w:szCs w:val="32"/>
        </w:rPr>
        <w:t>个具体问题，切实发挥巡视“鼓劲加油”“看病治疗”作用。</w:t>
      </w:r>
    </w:p>
    <w:p w14:paraId="75E2B285">
      <w:pPr>
        <w:widowControl/>
        <w:spacing w:line="600" w:lineRule="exact"/>
        <w:ind w:firstLine="640" w:firstLineChars="200"/>
        <w:rPr>
          <w:rFonts w:eastAsia="楷体_GB2312"/>
          <w:bCs/>
          <w:color w:val="auto"/>
          <w:kern w:val="0"/>
          <w:sz w:val="32"/>
          <w:szCs w:val="32"/>
        </w:rPr>
      </w:pPr>
      <w:r>
        <w:rPr>
          <w:rFonts w:eastAsia="楷体_GB2312"/>
          <w:bCs/>
          <w:color w:val="auto"/>
          <w:kern w:val="0"/>
          <w:sz w:val="32"/>
          <w:szCs w:val="32"/>
        </w:rPr>
        <w:t>2.</w:t>
      </w:r>
      <w:r>
        <w:rPr>
          <w:rFonts w:hint="eastAsia" w:eastAsia="楷体_GB2312"/>
          <w:bCs/>
          <w:color w:val="auto"/>
          <w:kern w:val="0"/>
          <w:sz w:val="32"/>
          <w:szCs w:val="32"/>
        </w:rPr>
        <w:t xml:space="preserve"> </w:t>
      </w:r>
      <w:r>
        <w:rPr>
          <w:rFonts w:eastAsia="楷体_GB2312"/>
          <w:bCs/>
          <w:color w:val="auto"/>
          <w:kern w:val="0"/>
          <w:sz w:val="32"/>
          <w:szCs w:val="32"/>
        </w:rPr>
        <w:t xml:space="preserve">强化检察履职，护航高质量发展 </w:t>
      </w:r>
    </w:p>
    <w:p w14:paraId="12D1B1FD">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）坚决维护国家安全和社会稳定。</w:t>
      </w:r>
      <w:r>
        <w:rPr>
          <w:rFonts w:hint="eastAsia" w:ascii="仿宋_GB2312" w:hAnsi="仿宋_GB2312" w:eastAsia="仿宋_GB2312" w:cs="仿宋_GB2312"/>
          <w:color w:val="auto"/>
          <w:kern w:val="0"/>
          <w:sz w:val="32"/>
          <w:szCs w:val="32"/>
        </w:rPr>
        <w:t>依法严厉打击危害国家安全、公共安全和严重暴力犯罪。积极投入党委政法委组织的整治突出违法犯罪“</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w:t>
      </w:r>
      <w:r>
        <w:rPr>
          <w:rFonts w:eastAsia="仿宋_GB2312"/>
          <w:color w:val="auto"/>
          <w:kern w:val="0"/>
          <w:sz w:val="32"/>
          <w:szCs w:val="32"/>
        </w:rPr>
        <w:t>6</w:t>
      </w:r>
      <w:r>
        <w:rPr>
          <w:rFonts w:hint="eastAsia" w:ascii="仿宋_GB2312" w:hAnsi="仿宋_GB2312" w:eastAsia="仿宋_GB2312" w:cs="仿宋_GB2312"/>
          <w:color w:val="auto"/>
          <w:kern w:val="0"/>
          <w:sz w:val="32"/>
          <w:szCs w:val="32"/>
        </w:rPr>
        <w:t>”专项行动，深入推进常态化扫黑除恶斗争。开展命案防控及命案积案攻坚专项行动，对二十年以上的命案依法报请核准追诉。深入推进打击惩治电信网络诈骗及关联犯罪，扎实开展打击破坏环境资源违法犯罪集中攻坚行动。</w:t>
      </w:r>
    </w:p>
    <w:p w14:paraId="7877FF07">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cs="仿宋_GB2312"/>
          <w:b/>
          <w:color w:val="auto"/>
          <w:kern w:val="0"/>
          <w:sz w:val="32"/>
          <w:szCs w:val="32"/>
        </w:rPr>
        <w:t>）助力优化法治化营商环境。</w:t>
      </w:r>
      <w:r>
        <w:rPr>
          <w:rFonts w:hint="eastAsia" w:ascii="仿宋_GB2312" w:hAnsi="仿宋_GB2312" w:eastAsia="仿宋_GB2312" w:cs="仿宋_GB2312"/>
          <w:color w:val="auto"/>
          <w:kern w:val="0"/>
          <w:sz w:val="32"/>
          <w:szCs w:val="32"/>
        </w:rPr>
        <w:t>依法平等保护各类经营主体合法权益，起诉破坏市场经济秩序犯罪。持续深化违规异地执法和趋利性执法司法专项监督，监督公安机关依法解除、返还“查扣冻”资金。依法维护经济金融秩序，与内蒙古金融监管局等部门联合印发行政执法与刑事司法衔接工作办法，助力完善金融行业监管。持续深化虚假诉讼专项监督，依法纠正“假官司”，起诉虚假诉讼犯罪。持续深化知识产权检察护航“内蒙古品牌”专项监督，协商自治区高院、公安厅共同制定侵犯商业秘密刑事案件办理指引，起诉侵犯商业秘密、著作权等犯罪。</w:t>
      </w:r>
    </w:p>
    <w:p w14:paraId="050B8B68">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cs="仿宋_GB2312"/>
          <w:b/>
          <w:color w:val="auto"/>
          <w:kern w:val="0"/>
          <w:sz w:val="32"/>
          <w:szCs w:val="32"/>
        </w:rPr>
        <w:t>）全力守护美丽内蒙古建设。</w:t>
      </w:r>
      <w:r>
        <w:rPr>
          <w:rFonts w:hint="eastAsia" w:ascii="仿宋_GB2312" w:hAnsi="仿宋_GB2312" w:eastAsia="仿宋_GB2312" w:cs="仿宋_GB2312"/>
          <w:color w:val="auto"/>
          <w:kern w:val="0"/>
          <w:sz w:val="32"/>
          <w:szCs w:val="32"/>
        </w:rPr>
        <w:t>积极推进自治区党委部署的毁林毁草集中整治行动，深入呼伦贝尔实地研究解决工作问题，联合自治区高院、公安厅等出台《依法惩治毁林毁草违法犯罪办案指引》等</w:t>
      </w:r>
      <w:r>
        <w:rPr>
          <w:rFonts w:eastAsia="仿宋_GB2312"/>
          <w:color w:val="auto"/>
          <w:kern w:val="0"/>
          <w:sz w:val="32"/>
          <w:szCs w:val="32"/>
        </w:rPr>
        <w:t>7</w:t>
      </w:r>
      <w:r>
        <w:rPr>
          <w:rFonts w:hint="eastAsia" w:ascii="仿宋_GB2312" w:hAnsi="仿宋_GB2312" w:eastAsia="仿宋_GB2312" w:cs="仿宋_GB2312"/>
          <w:color w:val="auto"/>
          <w:kern w:val="0"/>
          <w:sz w:val="32"/>
          <w:szCs w:val="32"/>
        </w:rPr>
        <w:t>项制度；办理相关公益诉讼案件，督促恢复林地、草地</w:t>
      </w:r>
      <w:r>
        <w:rPr>
          <w:rFonts w:eastAsia="仿宋_GB2312"/>
          <w:color w:val="auto"/>
          <w:kern w:val="0"/>
          <w:sz w:val="32"/>
          <w:szCs w:val="32"/>
        </w:rPr>
        <w:t>5</w:t>
      </w:r>
      <w:r>
        <w:rPr>
          <w:rFonts w:hint="eastAsia" w:ascii="仿宋_GB2312" w:hAnsi="仿宋_GB2312" w:eastAsia="仿宋_GB2312" w:cs="仿宋_GB2312"/>
          <w:color w:val="auto"/>
          <w:kern w:val="0"/>
          <w:sz w:val="32"/>
          <w:szCs w:val="32"/>
        </w:rPr>
        <w:t>.</w:t>
      </w:r>
      <w:r>
        <w:rPr>
          <w:rFonts w:eastAsia="仿宋_GB2312"/>
          <w:color w:val="auto"/>
          <w:kern w:val="0"/>
          <w:sz w:val="32"/>
          <w:szCs w:val="32"/>
        </w:rPr>
        <w:t>54</w:t>
      </w:r>
      <w:r>
        <w:rPr>
          <w:rFonts w:hint="eastAsia" w:ascii="仿宋_GB2312" w:hAnsi="仿宋_GB2312" w:eastAsia="仿宋_GB2312" w:cs="仿宋_GB2312"/>
          <w:color w:val="auto"/>
          <w:kern w:val="0"/>
          <w:sz w:val="32"/>
          <w:szCs w:val="32"/>
        </w:rPr>
        <w:t>万亩，缴纳生态损害赔偿金</w:t>
      </w:r>
      <w:r>
        <w:rPr>
          <w:rFonts w:eastAsia="仿宋_GB2312"/>
          <w:color w:val="auto"/>
          <w:kern w:val="0"/>
          <w:sz w:val="32"/>
          <w:szCs w:val="32"/>
        </w:rPr>
        <w:t>3</w:t>
      </w:r>
      <w:r>
        <w:rPr>
          <w:rFonts w:hint="eastAsia" w:ascii="仿宋_GB2312" w:hAnsi="仿宋_GB2312" w:eastAsia="仿宋_GB2312" w:cs="仿宋_GB2312"/>
          <w:color w:val="auto"/>
          <w:kern w:val="0"/>
          <w:sz w:val="32"/>
          <w:szCs w:val="32"/>
        </w:rPr>
        <w:t>.</w:t>
      </w:r>
      <w:r>
        <w:rPr>
          <w:rFonts w:eastAsia="仿宋_GB2312"/>
          <w:color w:val="auto"/>
          <w:kern w:val="0"/>
          <w:sz w:val="32"/>
          <w:szCs w:val="32"/>
        </w:rPr>
        <w:t>7</w:t>
      </w:r>
      <w:r>
        <w:rPr>
          <w:rFonts w:hint="eastAsia" w:ascii="仿宋_GB2312" w:hAnsi="仿宋_GB2312" w:eastAsia="仿宋_GB2312" w:cs="仿宋_GB2312"/>
          <w:color w:val="auto"/>
          <w:kern w:val="0"/>
          <w:sz w:val="32"/>
          <w:szCs w:val="32"/>
        </w:rPr>
        <w:t>亿元。持续深化山林、河湖、草原“生态检察三大协作统一行动”，“督促整治乌梁素海流域生态环境受损公益诉讼案”入选最高检典型案例。</w:t>
      </w:r>
    </w:p>
    <w:p w14:paraId="740D0C61">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4</w:t>
      </w:r>
      <w:r>
        <w:rPr>
          <w:rFonts w:hint="eastAsia" w:ascii="仿宋_GB2312" w:hAnsi="仿宋_GB2312" w:eastAsia="仿宋_GB2312" w:cs="仿宋_GB2312"/>
          <w:b/>
          <w:color w:val="auto"/>
          <w:kern w:val="0"/>
          <w:sz w:val="32"/>
          <w:szCs w:val="32"/>
        </w:rPr>
        <w:t>）积极推动社会治理体系建设。</w:t>
      </w:r>
      <w:r>
        <w:rPr>
          <w:rFonts w:hint="eastAsia" w:ascii="仿宋_GB2312" w:hAnsi="仿宋_GB2312" w:eastAsia="仿宋_GB2312" w:cs="仿宋_GB2312"/>
          <w:color w:val="auto"/>
          <w:kern w:val="0"/>
          <w:sz w:val="32"/>
          <w:szCs w:val="32"/>
        </w:rPr>
        <w:t>全面准确贯彻宽严相济刑事政策，持续释放司法善意。坚持标本兼治，结合办案发出检察建议，促进“抓前端、治未病”。扎实推进检察信访工作法治化。按照党委政法委统一要求，全面参与社会治安综合治理中心规范化建设。</w:t>
      </w:r>
    </w:p>
    <w:p w14:paraId="4887B4D9">
      <w:pPr>
        <w:widowControl/>
        <w:spacing w:line="600" w:lineRule="exact"/>
        <w:ind w:firstLine="640" w:firstLineChars="200"/>
        <w:rPr>
          <w:rFonts w:eastAsia="楷体_GB2312"/>
          <w:bCs/>
          <w:color w:val="auto"/>
          <w:kern w:val="0"/>
          <w:sz w:val="32"/>
          <w:szCs w:val="32"/>
        </w:rPr>
      </w:pPr>
      <w:r>
        <w:rPr>
          <w:rFonts w:eastAsia="楷体_GB2312"/>
          <w:bCs/>
          <w:color w:val="auto"/>
          <w:kern w:val="0"/>
          <w:sz w:val="32"/>
          <w:szCs w:val="32"/>
        </w:rPr>
        <w:t>3.</w:t>
      </w:r>
      <w:r>
        <w:rPr>
          <w:rFonts w:hint="eastAsia" w:eastAsia="楷体_GB2312"/>
          <w:bCs/>
          <w:color w:val="auto"/>
          <w:kern w:val="0"/>
          <w:sz w:val="32"/>
          <w:szCs w:val="32"/>
        </w:rPr>
        <w:t xml:space="preserve"> </w:t>
      </w:r>
      <w:r>
        <w:rPr>
          <w:rFonts w:eastAsia="楷体_GB2312"/>
          <w:bCs/>
          <w:color w:val="auto"/>
          <w:kern w:val="0"/>
          <w:sz w:val="32"/>
          <w:szCs w:val="32"/>
        </w:rPr>
        <w:t>做实检察为民，切实保障民生福祉</w:t>
      </w:r>
    </w:p>
    <w:p w14:paraId="19909CAA">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）用心守护群众美好生活。</w:t>
      </w:r>
      <w:r>
        <w:rPr>
          <w:rFonts w:hint="eastAsia" w:ascii="仿宋_GB2312" w:hAnsi="仿宋_GB2312" w:eastAsia="仿宋_GB2312" w:cs="仿宋_GB2312"/>
          <w:color w:val="auto"/>
          <w:kern w:val="0"/>
          <w:sz w:val="32"/>
          <w:szCs w:val="32"/>
        </w:rPr>
        <w:t>加强食品药品安全领域检察监督。与医保局等部门联合开展医保基金违法违规问题专项整治，依法起诉医保诈骗犯罪。开展“检察公益诉讼护航安全生产”专项监督。持续加大司法救助力度，向因案导致生活陷入困境受害人发放救助金</w:t>
      </w:r>
      <w:r>
        <w:rPr>
          <w:rFonts w:eastAsia="仿宋_GB2312"/>
          <w:color w:val="auto"/>
          <w:kern w:val="0"/>
          <w:sz w:val="32"/>
          <w:szCs w:val="32"/>
        </w:rPr>
        <w:t>1528</w:t>
      </w:r>
      <w:r>
        <w:rPr>
          <w:rFonts w:hint="eastAsia" w:ascii="仿宋_GB2312" w:hAnsi="仿宋_GB2312" w:eastAsia="仿宋_GB2312" w:cs="仿宋_GB2312"/>
          <w:color w:val="auto"/>
          <w:kern w:val="0"/>
          <w:sz w:val="32"/>
          <w:szCs w:val="32"/>
        </w:rPr>
        <w:t>万元。</w:t>
      </w:r>
    </w:p>
    <w:p w14:paraId="17D31814">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cs="仿宋_GB2312"/>
          <w:b/>
          <w:color w:val="auto"/>
          <w:kern w:val="0"/>
          <w:sz w:val="32"/>
          <w:szCs w:val="32"/>
        </w:rPr>
        <w:t>）加强特定群体权益保障。</w:t>
      </w:r>
      <w:r>
        <w:rPr>
          <w:rFonts w:hint="eastAsia" w:ascii="仿宋_GB2312" w:hAnsi="仿宋_GB2312" w:eastAsia="仿宋_GB2312" w:cs="仿宋_GB2312"/>
          <w:color w:val="auto"/>
          <w:kern w:val="0"/>
          <w:sz w:val="32"/>
          <w:szCs w:val="32"/>
        </w:rPr>
        <w:t>与自治区妇联联合印发工作意见，支持老年人、残疾人、妇女等提起民事诉讼。常态化参与治理欠薪专项活动。强化军人军属以及涉军权益保护，办理国防和军事领域、军人权益保护公益诉讼案件。因倾力解决信鸽影响飞行安全、超高建筑物影响净空等长期困扰问题，北部战区空军政治部专门向自治区检察院送来感谢信。</w:t>
      </w:r>
    </w:p>
    <w:p w14:paraId="377477C4">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cs="仿宋_GB2312"/>
          <w:b/>
          <w:color w:val="auto"/>
          <w:kern w:val="0"/>
          <w:sz w:val="32"/>
          <w:szCs w:val="32"/>
        </w:rPr>
        <w:t>）呵护未成年人健康成长。</w:t>
      </w:r>
      <w:r>
        <w:rPr>
          <w:rFonts w:hint="eastAsia" w:ascii="仿宋_GB2312" w:hAnsi="仿宋_GB2312" w:eastAsia="仿宋_GB2312" w:cs="仿宋_GB2312"/>
          <w:color w:val="auto"/>
          <w:kern w:val="0"/>
          <w:sz w:val="32"/>
          <w:szCs w:val="32"/>
        </w:rPr>
        <w:t>坚持“零容忍”，起诉性侵、伤害、虐待未成年人等犯罪。坚持“预防就是保护，惩治也是挽救”。在党委政法委领导协调下，推动建立健全检察机关与专门学校衔接机制，在呼和浩特、包头专门学校设立检察工作站，协助做实法治教育、思想教育，帮教涉罪未成年人。深入打造“北疆蒙芽”未检品牌，建设法治宣传矩阵，让法治理念根植孩子内心。</w:t>
      </w:r>
    </w:p>
    <w:p w14:paraId="76CB49BE">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4</w:t>
      </w:r>
      <w:r>
        <w:rPr>
          <w:rFonts w:hint="eastAsia" w:eastAsia="仿宋_GB2312" w:cs="仿宋_GB2312"/>
          <w:b/>
          <w:color w:val="auto"/>
          <w:kern w:val="0"/>
          <w:sz w:val="32"/>
          <w:szCs w:val="32"/>
        </w:rPr>
        <w:t>）助力繁荣北疆文化。</w:t>
      </w:r>
      <w:r>
        <w:rPr>
          <w:rFonts w:hint="eastAsia" w:ascii="仿宋_GB2312" w:hAnsi="仿宋_GB2312" w:eastAsia="仿宋_GB2312" w:cs="仿宋_GB2312"/>
          <w:color w:val="auto"/>
          <w:kern w:val="0"/>
          <w:sz w:val="32"/>
          <w:szCs w:val="32"/>
        </w:rPr>
        <w:t>持续开展长城保护专项行动。强化打击防范文物犯罪专项工作，起诉盗掘、倒卖文物等犯罪。加大文物和文化遗产公益保护力度。鄂尔多斯市检察机关办理的“督促保护秦直道遗址公益诉讼案”被评为全国指导性案例。</w:t>
      </w:r>
    </w:p>
    <w:p w14:paraId="4C89CD28">
      <w:pPr>
        <w:widowControl/>
        <w:spacing w:line="600" w:lineRule="exact"/>
        <w:ind w:firstLine="640" w:firstLineChars="200"/>
        <w:rPr>
          <w:rFonts w:eastAsia="楷体_GB2312"/>
          <w:bCs/>
          <w:color w:val="auto"/>
          <w:kern w:val="0"/>
          <w:sz w:val="32"/>
          <w:szCs w:val="32"/>
        </w:rPr>
      </w:pPr>
      <w:r>
        <w:rPr>
          <w:rFonts w:eastAsia="楷体_GB2312"/>
          <w:bCs/>
          <w:color w:val="auto"/>
          <w:kern w:val="0"/>
          <w:sz w:val="32"/>
          <w:szCs w:val="32"/>
        </w:rPr>
        <w:t>4.</w:t>
      </w:r>
      <w:r>
        <w:rPr>
          <w:rFonts w:hint="eastAsia" w:eastAsia="楷体_GB2312"/>
          <w:bCs/>
          <w:color w:val="auto"/>
          <w:kern w:val="0"/>
          <w:sz w:val="32"/>
          <w:szCs w:val="32"/>
        </w:rPr>
        <w:t xml:space="preserve"> </w:t>
      </w:r>
      <w:r>
        <w:rPr>
          <w:rFonts w:eastAsia="楷体_GB2312"/>
          <w:bCs/>
          <w:color w:val="auto"/>
          <w:kern w:val="0"/>
          <w:sz w:val="32"/>
          <w:szCs w:val="32"/>
        </w:rPr>
        <w:t>加强检察监督，维护执法司法公正</w:t>
      </w:r>
    </w:p>
    <w:p w14:paraId="6AB35127">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）加强诉讼活动监督。</w:t>
      </w:r>
      <w:r>
        <w:rPr>
          <w:rFonts w:hint="eastAsia" w:ascii="仿宋_GB2312" w:hAnsi="仿宋_GB2312" w:eastAsia="仿宋_GB2312" w:cs="仿宋_GB2312"/>
          <w:color w:val="auto"/>
          <w:kern w:val="0"/>
          <w:sz w:val="32"/>
          <w:szCs w:val="32"/>
        </w:rPr>
        <w:t>认真落实党委政法委强化执法司法规范化突出问题专项整治要求，开展集中攻坚行动，全面加强法律监督。强化刑事诉讼活动监督，持续深化刑事检察“三高两低”问题治理统一行动，对侦查活动违法提出监督意见，做实审查起诉环节“精加工”。提升民事诉讼监督精准度，持续推进民事检察“三低两少”问题治理统一行动。加大行政诉讼监督力度，深化行政检察打造精品统一行动。</w:t>
      </w:r>
    </w:p>
    <w:p w14:paraId="389D0E71">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cs="仿宋_GB2312"/>
          <w:b/>
          <w:color w:val="auto"/>
          <w:kern w:val="0"/>
          <w:sz w:val="32"/>
          <w:szCs w:val="32"/>
        </w:rPr>
        <w:t>）加强执行活动监督。</w:t>
      </w:r>
      <w:r>
        <w:rPr>
          <w:rFonts w:hint="eastAsia" w:ascii="仿宋_GB2312" w:hAnsi="仿宋_GB2312" w:eastAsia="仿宋_GB2312" w:cs="仿宋_GB2312"/>
          <w:color w:val="auto"/>
          <w:kern w:val="0"/>
          <w:sz w:val="32"/>
          <w:szCs w:val="32"/>
        </w:rPr>
        <w:t>强化刑事执行监督。深化“派驻+巡回+科技”监督机制，对监狱、看守所、社区矫正机构开展巡回检察，发现并督促整改问题。聚焦“收监难”“收押难”推进罪犯交付执行监督。</w:t>
      </w:r>
    </w:p>
    <w:p w14:paraId="47A13E9E">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cs="仿宋_GB2312"/>
          <w:b/>
          <w:color w:val="auto"/>
          <w:kern w:val="0"/>
          <w:sz w:val="32"/>
          <w:szCs w:val="32"/>
        </w:rPr>
        <w:t>）加强公益损害监督。</w:t>
      </w:r>
      <w:r>
        <w:rPr>
          <w:rFonts w:hint="eastAsia" w:ascii="仿宋_GB2312" w:hAnsi="仿宋_GB2312" w:eastAsia="仿宋_GB2312" w:cs="仿宋_GB2312"/>
          <w:color w:val="auto"/>
          <w:kern w:val="0"/>
          <w:sz w:val="32"/>
          <w:szCs w:val="32"/>
        </w:rPr>
        <w:t>牢记“公共利益代表”神圣职责，紧盯挂牌督办的重大案件，深入督导评查，促提办案质效。</w:t>
      </w:r>
    </w:p>
    <w:p w14:paraId="723D6F29">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4</w:t>
      </w:r>
      <w:r>
        <w:rPr>
          <w:rFonts w:hint="eastAsia" w:eastAsia="仿宋_GB2312" w:cs="仿宋_GB2312"/>
          <w:b/>
          <w:color w:val="auto"/>
          <w:kern w:val="0"/>
          <w:sz w:val="32"/>
          <w:szCs w:val="32"/>
        </w:rPr>
        <w:t>）加强司法腐败监督。</w:t>
      </w:r>
      <w:r>
        <w:rPr>
          <w:rFonts w:hint="eastAsia" w:ascii="仿宋_GB2312" w:hAnsi="仿宋_GB2312" w:eastAsia="仿宋_GB2312" w:cs="仿宋_GB2312"/>
          <w:color w:val="auto"/>
          <w:kern w:val="0"/>
          <w:sz w:val="32"/>
          <w:szCs w:val="32"/>
        </w:rPr>
        <w:t>对在诉讼监督中发现的司法工作人员利用职权实施的徇私枉法、滥用职权、刑讯逼供等犯罪依法立案侦查。聚焦监管场所违规“捎买带”“传递信息”及醉驾案件背后司法渎职犯罪等违规违法问题，部署开展专项行动，立案侦查司法工作人员相关渎职犯罪。“通过技术手段全程赋能线索审查、证据固定，有效提升案件质效”的经验做法在全国推广。</w:t>
      </w:r>
    </w:p>
    <w:p w14:paraId="3AAD4528">
      <w:pPr>
        <w:widowControl/>
        <w:spacing w:line="600" w:lineRule="exact"/>
        <w:ind w:firstLine="640" w:firstLineChars="200"/>
        <w:rPr>
          <w:rFonts w:eastAsia="楷体_GB2312"/>
          <w:bCs/>
          <w:color w:val="auto"/>
          <w:kern w:val="0"/>
          <w:sz w:val="32"/>
          <w:szCs w:val="32"/>
        </w:rPr>
      </w:pPr>
      <w:r>
        <w:rPr>
          <w:rFonts w:eastAsia="楷体_GB2312"/>
          <w:bCs/>
          <w:color w:val="auto"/>
          <w:kern w:val="0"/>
          <w:sz w:val="32"/>
          <w:szCs w:val="32"/>
        </w:rPr>
        <w:t>5.</w:t>
      </w:r>
      <w:r>
        <w:rPr>
          <w:rFonts w:hint="eastAsia" w:eastAsia="楷体_GB2312"/>
          <w:bCs/>
          <w:color w:val="auto"/>
          <w:kern w:val="0"/>
          <w:sz w:val="32"/>
          <w:szCs w:val="32"/>
        </w:rPr>
        <w:t xml:space="preserve"> </w:t>
      </w:r>
      <w:r>
        <w:rPr>
          <w:rFonts w:eastAsia="楷体_GB2312"/>
          <w:bCs/>
          <w:color w:val="auto"/>
          <w:kern w:val="0"/>
          <w:sz w:val="32"/>
          <w:szCs w:val="32"/>
        </w:rPr>
        <w:t>优化自身建设，锻造过硬检察铁军</w:t>
      </w:r>
    </w:p>
    <w:p w14:paraId="233BF914">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）提升能力素质。</w:t>
      </w:r>
      <w:r>
        <w:rPr>
          <w:rFonts w:hint="eastAsia" w:ascii="仿宋_GB2312" w:hAnsi="仿宋_GB2312" w:eastAsia="仿宋_GB2312" w:cs="仿宋_GB2312"/>
          <w:color w:val="auto"/>
          <w:kern w:val="0"/>
          <w:sz w:val="32"/>
          <w:szCs w:val="32"/>
        </w:rPr>
        <w:t>按照全区政法工作会议要求，努力提高业务能力，持续通过检察大讲堂、岗位练兵等方式活血造血、强骨壮肌，</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个案件入选全国指导性案例、</w:t>
      </w:r>
      <w:r>
        <w:rPr>
          <w:rFonts w:eastAsia="仿宋_GB2312"/>
          <w:color w:val="auto"/>
          <w:kern w:val="0"/>
          <w:sz w:val="32"/>
          <w:szCs w:val="32"/>
        </w:rPr>
        <w:t>21</w:t>
      </w:r>
      <w:r>
        <w:rPr>
          <w:rFonts w:hint="eastAsia" w:ascii="仿宋_GB2312" w:hAnsi="仿宋_GB2312" w:eastAsia="仿宋_GB2312" w:cs="仿宋_GB2312"/>
          <w:color w:val="auto"/>
          <w:kern w:val="0"/>
          <w:sz w:val="32"/>
          <w:szCs w:val="32"/>
        </w:rPr>
        <w:t>个入选全国典型案例，</w:t>
      </w:r>
      <w:r>
        <w:rPr>
          <w:rFonts w:eastAsia="仿宋_GB2312"/>
          <w:color w:val="auto"/>
          <w:kern w:val="0"/>
          <w:sz w:val="32"/>
          <w:szCs w:val="32"/>
        </w:rPr>
        <w:t>28</w:t>
      </w:r>
      <w:r>
        <w:rPr>
          <w:rFonts w:hint="eastAsia" w:ascii="仿宋_GB2312" w:hAnsi="仿宋_GB2312" w:eastAsia="仿宋_GB2312" w:cs="仿宋_GB2312"/>
          <w:color w:val="auto"/>
          <w:kern w:val="0"/>
          <w:sz w:val="32"/>
          <w:szCs w:val="32"/>
        </w:rPr>
        <w:t>项工作被最高检推广，“生态检察三大协作”入选</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年度全区法治事件。自治区检察院组织两批次</w:t>
      </w:r>
      <w:r>
        <w:rPr>
          <w:rFonts w:eastAsia="仿宋_GB2312"/>
          <w:color w:val="auto"/>
          <w:kern w:val="0"/>
          <w:sz w:val="32"/>
          <w:szCs w:val="32"/>
        </w:rPr>
        <w:t>24</w:t>
      </w:r>
      <w:r>
        <w:rPr>
          <w:rFonts w:hint="eastAsia" w:ascii="仿宋_GB2312" w:hAnsi="仿宋_GB2312" w:eastAsia="仿宋_GB2312" w:cs="仿宋_GB2312"/>
          <w:color w:val="auto"/>
          <w:kern w:val="0"/>
          <w:sz w:val="32"/>
          <w:szCs w:val="32"/>
        </w:rPr>
        <w:t>名检察人员开展易岗交流学习，培养复合人才。评定全区检察业务专家</w:t>
      </w:r>
      <w:r>
        <w:rPr>
          <w:rFonts w:eastAsia="仿宋_GB2312"/>
          <w:color w:val="auto"/>
          <w:kern w:val="0"/>
          <w:sz w:val="32"/>
          <w:szCs w:val="32"/>
        </w:rPr>
        <w:t>48</w:t>
      </w:r>
      <w:r>
        <w:rPr>
          <w:rFonts w:hint="eastAsia" w:ascii="仿宋_GB2312" w:hAnsi="仿宋_GB2312" w:eastAsia="仿宋_GB2312" w:cs="仿宋_GB2312"/>
          <w:color w:val="auto"/>
          <w:kern w:val="0"/>
          <w:sz w:val="32"/>
          <w:szCs w:val="32"/>
        </w:rPr>
        <w:t>人，培养检察业务领军人才。注重检察理论研究，“敖包检会”被最高检认定为最具代表性的学术活动之一。</w:t>
      </w:r>
    </w:p>
    <w:p w14:paraId="433620DE">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cs="仿宋_GB2312"/>
          <w:b/>
          <w:color w:val="auto"/>
          <w:kern w:val="0"/>
          <w:sz w:val="32"/>
          <w:szCs w:val="32"/>
        </w:rPr>
        <w:t>）做实检察管理。</w:t>
      </w:r>
      <w:r>
        <w:rPr>
          <w:rFonts w:hint="eastAsia" w:ascii="仿宋_GB2312" w:hAnsi="仿宋_GB2312" w:eastAsia="仿宋_GB2312" w:cs="仿宋_GB2312"/>
          <w:color w:val="auto"/>
          <w:kern w:val="0"/>
          <w:sz w:val="32"/>
          <w:szCs w:val="32"/>
        </w:rPr>
        <w:t>深化落实最高检“一取消三不再”要求，建立完善检察管理新体系，常态化开展业务质效分析、流程监控，案件质量检查评查，促推高质效办案。深化落实防止干预司法“三个规定”，分设检察官惩戒委员会，严肃开展追责惩戒工作，全面梳理排查不合格案件。</w:t>
      </w:r>
    </w:p>
    <w:p w14:paraId="2D5BCF62">
      <w:pPr>
        <w:widowControl/>
        <w:spacing w:line="600" w:lineRule="exact"/>
        <w:ind w:firstLine="643" w:firstLineChars="200"/>
        <w:rPr>
          <w:rFonts w:eastAsia="Times New Roman"/>
          <w:color w:val="auto"/>
          <w:kern w:val="0"/>
          <w:sz w:val="24"/>
        </w:rPr>
      </w:pPr>
      <w:r>
        <w:rPr>
          <w:rFonts w:eastAsia="仿宋_GB2312"/>
          <w:b/>
          <w:color w:val="auto"/>
          <w:kern w:val="0"/>
          <w:sz w:val="32"/>
          <w:szCs w:val="32"/>
        </w:rPr>
        <w:t>3</w:t>
      </w:r>
      <w:r>
        <w:rPr>
          <w:rFonts w:hint="eastAsia" w:eastAsia="仿宋_GB2312" w:cs="仿宋_GB2312"/>
          <w:b/>
          <w:color w:val="auto"/>
          <w:kern w:val="0"/>
          <w:sz w:val="32"/>
          <w:szCs w:val="32"/>
        </w:rPr>
        <w:t>）加强基层建设。</w:t>
      </w:r>
      <w:r>
        <w:rPr>
          <w:rFonts w:hint="eastAsia" w:ascii="仿宋_GB2312" w:hAnsi="仿宋_GB2312" w:eastAsia="仿宋_GB2312" w:cs="仿宋_GB2312"/>
          <w:color w:val="auto"/>
          <w:kern w:val="0"/>
          <w:sz w:val="32"/>
          <w:szCs w:val="32"/>
        </w:rPr>
        <w:t>对基层院实行“大”“中”“小”院分类管理、精准指导。深入实施“</w:t>
      </w:r>
      <w:r>
        <w:rPr>
          <w:rFonts w:eastAsia="仿宋_GB2312"/>
          <w:color w:val="auto"/>
          <w:kern w:val="0"/>
          <w:sz w:val="32"/>
          <w:szCs w:val="32"/>
        </w:rPr>
        <w:t>251</w:t>
      </w:r>
      <w:r>
        <w:rPr>
          <w:rFonts w:hint="eastAsia" w:ascii="仿宋_GB2312" w:hAnsi="仿宋_GB2312" w:eastAsia="仿宋_GB2312" w:cs="仿宋_GB2312"/>
          <w:color w:val="auto"/>
          <w:kern w:val="0"/>
          <w:sz w:val="32"/>
          <w:szCs w:val="32"/>
        </w:rPr>
        <w:t>检察人才工程”，选拔交流基层院班子成员</w:t>
      </w:r>
      <w:r>
        <w:rPr>
          <w:rFonts w:eastAsia="仿宋_GB2312"/>
          <w:color w:val="auto"/>
          <w:kern w:val="0"/>
          <w:sz w:val="32"/>
          <w:szCs w:val="32"/>
        </w:rPr>
        <w:t>88</w:t>
      </w:r>
      <w:r>
        <w:rPr>
          <w:rFonts w:hint="eastAsia" w:ascii="仿宋_GB2312" w:hAnsi="仿宋_GB2312" w:eastAsia="仿宋_GB2312" w:cs="仿宋_GB2312"/>
          <w:color w:val="auto"/>
          <w:kern w:val="0"/>
          <w:sz w:val="32"/>
          <w:szCs w:val="32"/>
        </w:rPr>
        <w:t>人。不断加强“一院一品”建设，二连浩特市检察院“‘检守口岸’展现北疆检察担当”获评全国检察机关基层院建设特色品牌。持续推进“数字检察提升工程”。</w:t>
      </w:r>
    </w:p>
    <w:p w14:paraId="2229A432">
      <w:pPr>
        <w:pStyle w:val="4"/>
        <w:keepNext w:val="0"/>
        <w:keepLines w:val="0"/>
        <w:widowControl/>
        <w:spacing w:before="0" w:after="0" w:line="600" w:lineRule="exact"/>
        <w:jc w:val="center"/>
        <w:rPr>
          <w:rFonts w:ascii="方正小标宋简体" w:hAnsi="方正小标宋简体" w:eastAsia="方正小标宋简体" w:cs="方正小标宋简体"/>
          <w:color w:val="auto"/>
          <w:kern w:val="0"/>
          <w:sz w:val="36"/>
          <w:szCs w:val="36"/>
        </w:rPr>
      </w:pPr>
    </w:p>
    <w:p w14:paraId="0C296ED9">
      <w:pPr>
        <w:pStyle w:val="4"/>
        <w:keepNext w:val="0"/>
        <w:keepLines w:val="0"/>
        <w:widowControl/>
        <w:spacing w:before="0" w:after="0" w:line="600" w:lineRule="exact"/>
        <w:jc w:val="center"/>
        <w:rPr>
          <w:rFonts w:ascii="方正小标宋简体" w:hAnsi="方正小标宋简体" w:eastAsia="方正小标宋简体" w:cs="方正小标宋简体"/>
          <w:b w:val="0"/>
          <w:color w:val="auto"/>
          <w:kern w:val="0"/>
          <w:sz w:val="36"/>
          <w:szCs w:val="36"/>
        </w:rPr>
      </w:pPr>
      <w:r>
        <w:rPr>
          <w:rFonts w:hint="eastAsia" w:ascii="方正小标宋简体" w:hAnsi="方正小标宋简体" w:eastAsia="方正小标宋简体" w:cs="方正小标宋简体"/>
          <w:b w:val="0"/>
          <w:color w:val="auto"/>
          <w:kern w:val="0"/>
          <w:sz w:val="36"/>
          <w:szCs w:val="36"/>
        </w:rPr>
        <w:t>第二部分  单位决算情况说明</w:t>
      </w:r>
    </w:p>
    <w:p w14:paraId="1445C1C8">
      <w:pPr>
        <w:pStyle w:val="23"/>
        <w:widowControl/>
        <w:spacing w:line="600" w:lineRule="exact"/>
        <w:ind w:firstLine="643"/>
        <w:jc w:val="left"/>
        <w:rPr>
          <w:rFonts w:hint="eastAsia" w:ascii="黑体" w:hAnsi="黑体" w:eastAsia="黑体" w:cs="黑体"/>
          <w:b/>
          <w:bCs/>
          <w:color w:val="auto"/>
          <w:kern w:val="0"/>
          <w:sz w:val="32"/>
          <w:szCs w:val="32"/>
        </w:rPr>
      </w:pPr>
    </w:p>
    <w:p w14:paraId="5DC446A3">
      <w:pPr>
        <w:pStyle w:val="23"/>
        <w:widowControl/>
        <w:spacing w:line="600" w:lineRule="exact"/>
        <w:ind w:firstLine="643"/>
        <w:jc w:val="left"/>
        <w:rPr>
          <w:rFonts w:eastAsia="Times New Roman"/>
          <w:color w:val="auto"/>
          <w:kern w:val="0"/>
          <w:sz w:val="24"/>
        </w:rPr>
      </w:pPr>
      <w:r>
        <w:rPr>
          <w:rFonts w:ascii="黑体" w:hAnsi="黑体" w:eastAsia="黑体" w:cs="黑体"/>
          <w:bCs/>
          <w:color w:val="auto"/>
          <w:kern w:val="0"/>
          <w:sz w:val="32"/>
          <w:szCs w:val="32"/>
        </w:rPr>
        <w:t>一、收入支出决算总体情况说明</w:t>
      </w:r>
    </w:p>
    <w:p w14:paraId="1AF5E37F">
      <w:pPr>
        <w:pStyle w:val="23"/>
        <w:widowControl/>
        <w:spacing w:line="600" w:lineRule="exact"/>
        <w:ind w:firstLine="641"/>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年度收入、支出决算总计均为</w:t>
      </w:r>
      <w:r>
        <w:rPr>
          <w:rFonts w:eastAsia="仿宋_GB2312"/>
          <w:color w:val="auto"/>
          <w:kern w:val="0"/>
          <w:sz w:val="32"/>
          <w:szCs w:val="32"/>
          <w:u w:val="single"/>
        </w:rPr>
        <w:t>12352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55</w:t>
      </w:r>
      <w:r>
        <w:rPr>
          <w:rFonts w:hint="eastAsia" w:ascii="仿宋_GB2312" w:hAnsi="仿宋_GB2312" w:eastAsia="仿宋_GB2312" w:cs="仿宋_GB2312"/>
          <w:color w:val="auto"/>
          <w:kern w:val="0"/>
          <w:sz w:val="32"/>
          <w:szCs w:val="32"/>
        </w:rPr>
        <w:t>万元。与年初预算相比，收、支总计各减少</w:t>
      </w:r>
      <w:r>
        <w:rPr>
          <w:rFonts w:eastAsia="仿宋_GB2312"/>
          <w:color w:val="auto"/>
          <w:kern w:val="0"/>
          <w:sz w:val="32"/>
          <w:szCs w:val="32"/>
          <w:u w:val="single"/>
        </w:rPr>
        <w:t>43</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39</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35</w:t>
      </w:r>
      <w:r>
        <w:rPr>
          <w:rFonts w:hint="eastAsia" w:ascii="仿宋_GB2312" w:hAnsi="仿宋_GB2312" w:eastAsia="仿宋_GB2312" w:cs="仿宋_GB2312"/>
          <w:color w:val="auto"/>
          <w:kern w:val="0"/>
          <w:sz w:val="32"/>
          <w:szCs w:val="32"/>
        </w:rPr>
        <w:t>%，变动原因：本年度我院严格落实过紧日子要求，严格审核执行公务活动开支范围和经费，导致与年初预算相比收支减少；与上年决算相比，收、支总计各减少</w:t>
      </w:r>
      <w:r>
        <w:rPr>
          <w:rFonts w:eastAsia="仿宋_GB2312"/>
          <w:color w:val="auto"/>
          <w:kern w:val="0"/>
          <w:sz w:val="32"/>
          <w:szCs w:val="32"/>
          <w:u w:val="single"/>
        </w:rPr>
        <w:t>2347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15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97</w:t>
      </w:r>
      <w:r>
        <w:rPr>
          <w:rFonts w:hint="eastAsia" w:ascii="仿宋_GB2312" w:hAnsi="仿宋_GB2312" w:eastAsia="仿宋_GB2312" w:cs="仿宋_GB2312"/>
          <w:color w:val="auto"/>
          <w:kern w:val="0"/>
          <w:sz w:val="32"/>
          <w:szCs w:val="32"/>
        </w:rPr>
        <w:t>%。其中：</w:t>
      </w:r>
    </w:p>
    <w:p w14:paraId="39ABF291">
      <w:pPr>
        <w:pStyle w:val="23"/>
        <w:widowControl/>
        <w:spacing w:line="600" w:lineRule="exact"/>
        <w:ind w:firstLine="643"/>
        <w:rPr>
          <w:rFonts w:eastAsia="楷体_GB2312"/>
          <w:color w:val="auto"/>
          <w:kern w:val="0"/>
          <w:sz w:val="24"/>
        </w:rPr>
      </w:pPr>
      <w:r>
        <w:rPr>
          <w:rFonts w:eastAsia="楷体_GB2312"/>
          <w:bCs/>
          <w:color w:val="auto"/>
          <w:kern w:val="0"/>
          <w:sz w:val="32"/>
          <w:szCs w:val="32"/>
        </w:rPr>
        <w:t>（一）收入决算总计</w:t>
      </w:r>
      <w:r>
        <w:rPr>
          <w:rFonts w:eastAsia="楷体_GB2312"/>
          <w:bCs/>
          <w:color w:val="auto"/>
          <w:kern w:val="0"/>
          <w:sz w:val="32"/>
          <w:szCs w:val="32"/>
          <w:u w:val="single"/>
        </w:rPr>
        <w:t>12352.55</w:t>
      </w:r>
      <w:r>
        <w:rPr>
          <w:rFonts w:eastAsia="楷体_GB2312"/>
          <w:bCs/>
          <w:color w:val="auto"/>
          <w:kern w:val="0"/>
          <w:sz w:val="32"/>
          <w:szCs w:val="32"/>
        </w:rPr>
        <w:t>万元。包括：</w:t>
      </w:r>
    </w:p>
    <w:p w14:paraId="7C63AB62">
      <w:pPr>
        <w:pStyle w:val="23"/>
        <w:widowControl/>
        <w:spacing w:line="600" w:lineRule="exact"/>
        <w:ind w:firstLine="64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 本年收入决算合计</w:t>
      </w:r>
      <w:r>
        <w:rPr>
          <w:rFonts w:eastAsia="仿宋_GB2312"/>
          <w:b/>
          <w:color w:val="auto"/>
          <w:kern w:val="0"/>
          <w:sz w:val="32"/>
          <w:szCs w:val="32"/>
          <w:u w:val="single"/>
        </w:rPr>
        <w:t>12235</w:t>
      </w:r>
      <w:r>
        <w:rPr>
          <w:rFonts w:hint="eastAsia" w:ascii="仿宋_GB2312" w:hAnsi="仿宋_GB2312" w:eastAsia="仿宋_GB2312" w:cs="仿宋_GB2312"/>
          <w:b/>
          <w:color w:val="auto"/>
          <w:kern w:val="0"/>
          <w:sz w:val="32"/>
          <w:szCs w:val="32"/>
          <w:u w:val="single"/>
        </w:rPr>
        <w:t>.</w:t>
      </w:r>
      <w:r>
        <w:rPr>
          <w:rFonts w:eastAsia="仿宋_GB2312"/>
          <w:b/>
          <w:color w:val="auto"/>
          <w:kern w:val="0"/>
          <w:sz w:val="32"/>
          <w:szCs w:val="32"/>
          <w:u w:val="single"/>
        </w:rPr>
        <w:t>60</w:t>
      </w:r>
      <w:r>
        <w:rPr>
          <w:rFonts w:hint="eastAsia" w:ascii="仿宋_GB2312" w:hAnsi="仿宋_GB2312" w:eastAsia="仿宋_GB2312" w:cs="仿宋_GB2312"/>
          <w:b/>
          <w:color w:val="auto"/>
          <w:kern w:val="0"/>
          <w:sz w:val="32"/>
          <w:szCs w:val="32"/>
        </w:rPr>
        <w:t>万元。</w:t>
      </w:r>
      <w:r>
        <w:rPr>
          <w:rFonts w:hint="eastAsia" w:ascii="仿宋_GB2312" w:hAnsi="仿宋_GB2312" w:eastAsia="仿宋_GB2312" w:cs="仿宋_GB2312"/>
          <w:color w:val="auto"/>
          <w:kern w:val="0"/>
          <w:sz w:val="32"/>
          <w:szCs w:val="32"/>
        </w:rPr>
        <w:t>与上年决算相比，减少</w:t>
      </w:r>
      <w:r>
        <w:rPr>
          <w:rFonts w:eastAsia="仿宋_GB2312"/>
          <w:color w:val="auto"/>
          <w:kern w:val="0"/>
          <w:sz w:val="32"/>
          <w:szCs w:val="32"/>
          <w:u w:val="single"/>
        </w:rPr>
        <w:t>2347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16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%，变动原因：一是本年度本着过紧日子要求，进一步压减一般性支出，收入预算较上年减少，二是上年度有信息化建设资金收入，本年度无信息化资金收入。</w:t>
      </w:r>
    </w:p>
    <w:p w14:paraId="6EBBC927">
      <w:pPr>
        <w:pStyle w:val="23"/>
        <w:widowControl/>
        <w:spacing w:line="600" w:lineRule="exact"/>
        <w:ind w:firstLine="64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b/>
          <w:color w:val="auto"/>
          <w:kern w:val="0"/>
          <w:sz w:val="32"/>
          <w:szCs w:val="32"/>
        </w:rPr>
        <w:t>. 使用非财政拨款结余（含专用结余）</w:t>
      </w:r>
      <w:r>
        <w:rPr>
          <w:rFonts w:eastAsia="仿宋_GB2312"/>
          <w:b/>
          <w:color w:val="auto"/>
          <w:kern w:val="0"/>
          <w:sz w:val="32"/>
          <w:szCs w:val="32"/>
          <w:u w:val="single"/>
        </w:rPr>
        <w:t>0</w:t>
      </w:r>
      <w:r>
        <w:rPr>
          <w:rFonts w:hint="eastAsia" w:eastAsia="仿宋_GB2312"/>
          <w:b/>
          <w:color w:val="auto"/>
          <w:kern w:val="0"/>
          <w:sz w:val="32"/>
          <w:szCs w:val="32"/>
        </w:rPr>
        <w:t>万元。</w:t>
      </w:r>
      <w:r>
        <w:rPr>
          <w:rFonts w:hint="eastAsia" w:ascii="仿宋_GB2312" w:hAnsi="仿宋_GB2312" w:eastAsia="仿宋_GB2312" w:cs="仿宋_GB2312"/>
          <w:color w:val="auto"/>
          <w:kern w:val="0"/>
          <w:sz w:val="32"/>
          <w:szCs w:val="32"/>
        </w:rPr>
        <w:t>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%，变动原因：不存在此项内容。</w:t>
      </w:r>
    </w:p>
    <w:p w14:paraId="273C3E1B">
      <w:pPr>
        <w:pStyle w:val="23"/>
        <w:widowControl/>
        <w:spacing w:line="600" w:lineRule="exact"/>
        <w:ind w:firstLine="64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b/>
          <w:color w:val="auto"/>
          <w:kern w:val="0"/>
          <w:sz w:val="32"/>
          <w:szCs w:val="32"/>
        </w:rPr>
        <w:t>. 年初结转和结余</w:t>
      </w:r>
      <w:r>
        <w:rPr>
          <w:rFonts w:eastAsia="仿宋_GB2312"/>
          <w:b/>
          <w:color w:val="auto"/>
          <w:kern w:val="0"/>
          <w:sz w:val="32"/>
          <w:szCs w:val="32"/>
          <w:u w:val="single"/>
        </w:rPr>
        <w:t>116</w:t>
      </w:r>
      <w:r>
        <w:rPr>
          <w:rFonts w:hint="eastAsia" w:eastAsia="仿宋_GB2312"/>
          <w:b/>
          <w:color w:val="auto"/>
          <w:kern w:val="0"/>
          <w:sz w:val="32"/>
          <w:szCs w:val="32"/>
          <w:u w:val="single"/>
        </w:rPr>
        <w:t>.</w:t>
      </w:r>
      <w:r>
        <w:rPr>
          <w:rFonts w:eastAsia="仿宋_GB2312"/>
          <w:b/>
          <w:color w:val="auto"/>
          <w:kern w:val="0"/>
          <w:sz w:val="32"/>
          <w:szCs w:val="32"/>
          <w:u w:val="single"/>
        </w:rPr>
        <w:t>95</w:t>
      </w:r>
      <w:r>
        <w:rPr>
          <w:rFonts w:hint="eastAsia" w:eastAsia="仿宋_GB2312"/>
          <w:b/>
          <w:color w:val="auto"/>
          <w:kern w:val="0"/>
          <w:sz w:val="32"/>
          <w:szCs w:val="32"/>
        </w:rPr>
        <w:t>万元。</w:t>
      </w:r>
      <w:r>
        <w:rPr>
          <w:rFonts w:hint="eastAsia" w:ascii="仿宋_GB2312" w:hAnsi="仿宋_GB2312" w:eastAsia="仿宋_GB2312" w:cs="仿宋_GB2312"/>
          <w:color w:val="auto"/>
          <w:kern w:val="0"/>
          <w:sz w:val="32"/>
          <w:szCs w:val="32"/>
        </w:rPr>
        <w:t>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%，变动原因：无变动。</w:t>
      </w:r>
    </w:p>
    <w:p w14:paraId="21271502">
      <w:pPr>
        <w:pStyle w:val="23"/>
        <w:widowControl/>
        <w:spacing w:line="600" w:lineRule="exact"/>
        <w:ind w:firstLine="643"/>
        <w:rPr>
          <w:rFonts w:eastAsia="楷体_GB2312"/>
          <w:bCs/>
          <w:color w:val="auto"/>
          <w:kern w:val="0"/>
          <w:sz w:val="32"/>
          <w:szCs w:val="32"/>
        </w:rPr>
      </w:pPr>
      <w:r>
        <w:rPr>
          <w:rFonts w:eastAsia="楷体_GB2312"/>
          <w:bCs/>
          <w:color w:val="auto"/>
          <w:kern w:val="0"/>
          <w:sz w:val="32"/>
          <w:szCs w:val="32"/>
        </w:rPr>
        <w:t>（二）支出决算总计12352.55万元。包括：</w:t>
      </w:r>
    </w:p>
    <w:p w14:paraId="3D69C013">
      <w:pPr>
        <w:pStyle w:val="23"/>
        <w:widowControl/>
        <w:spacing w:line="600" w:lineRule="exact"/>
        <w:ind w:firstLine="64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eastAsia="仿宋_GB2312"/>
          <w:b/>
          <w:color w:val="auto"/>
          <w:kern w:val="0"/>
          <w:sz w:val="32"/>
          <w:szCs w:val="32"/>
        </w:rPr>
        <w:t>. 本年支出决算合计</w:t>
      </w:r>
      <w:r>
        <w:rPr>
          <w:rFonts w:eastAsia="仿宋_GB2312"/>
          <w:b/>
          <w:color w:val="auto"/>
          <w:kern w:val="0"/>
          <w:sz w:val="32"/>
          <w:szCs w:val="32"/>
          <w:u w:val="single"/>
        </w:rPr>
        <w:t>12235</w:t>
      </w:r>
      <w:r>
        <w:rPr>
          <w:rFonts w:hint="eastAsia" w:eastAsia="仿宋_GB2312"/>
          <w:b/>
          <w:color w:val="auto"/>
          <w:kern w:val="0"/>
          <w:sz w:val="32"/>
          <w:szCs w:val="32"/>
          <w:u w:val="single"/>
        </w:rPr>
        <w:t>.</w:t>
      </w:r>
      <w:r>
        <w:rPr>
          <w:rFonts w:eastAsia="仿宋_GB2312"/>
          <w:b/>
          <w:color w:val="auto"/>
          <w:kern w:val="0"/>
          <w:sz w:val="32"/>
          <w:szCs w:val="32"/>
          <w:u w:val="single"/>
        </w:rPr>
        <w:t>60</w:t>
      </w:r>
      <w:r>
        <w:rPr>
          <w:rFonts w:hint="eastAsia" w:eastAsia="仿宋_GB2312"/>
          <w:b/>
          <w:color w:val="auto"/>
          <w:kern w:val="0"/>
          <w:sz w:val="32"/>
          <w:szCs w:val="32"/>
        </w:rPr>
        <w:t>万元。</w:t>
      </w:r>
      <w:r>
        <w:rPr>
          <w:rFonts w:hint="eastAsia" w:ascii="仿宋_GB2312" w:hAnsi="仿宋_GB2312" w:eastAsia="仿宋_GB2312" w:cs="仿宋_GB2312"/>
          <w:color w:val="auto"/>
          <w:kern w:val="0"/>
          <w:sz w:val="32"/>
          <w:szCs w:val="32"/>
        </w:rPr>
        <w:t>与上年决算相比，减少</w:t>
      </w:r>
      <w:r>
        <w:rPr>
          <w:rFonts w:eastAsia="仿宋_GB2312"/>
          <w:color w:val="auto"/>
          <w:kern w:val="0"/>
          <w:sz w:val="32"/>
          <w:szCs w:val="32"/>
          <w:u w:val="single"/>
        </w:rPr>
        <w:t>2347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16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%，变动原因：一是本年度本着过紧日子要求，进一步压减一般性支出，支出决算较上年减少，二是上年度有信息化建设资金支出，本年度无信息化资金支出。</w:t>
      </w:r>
    </w:p>
    <w:p w14:paraId="0B6EF60E">
      <w:pPr>
        <w:pStyle w:val="23"/>
        <w:widowControl/>
        <w:spacing w:line="600" w:lineRule="exact"/>
        <w:ind w:firstLine="64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b/>
          <w:color w:val="auto"/>
          <w:kern w:val="0"/>
          <w:sz w:val="32"/>
          <w:szCs w:val="32"/>
        </w:rPr>
        <w:t>. 结余分配</w:t>
      </w:r>
      <w:r>
        <w:rPr>
          <w:rFonts w:eastAsia="仿宋_GB2312"/>
          <w:b/>
          <w:color w:val="auto"/>
          <w:kern w:val="0"/>
          <w:sz w:val="32"/>
          <w:szCs w:val="32"/>
          <w:u w:val="single"/>
        </w:rPr>
        <w:t>0</w:t>
      </w:r>
      <w:r>
        <w:rPr>
          <w:rFonts w:hint="eastAsia" w:eastAsia="仿宋_GB2312"/>
          <w:b/>
          <w:color w:val="auto"/>
          <w:kern w:val="0"/>
          <w:sz w:val="32"/>
          <w:szCs w:val="32"/>
        </w:rPr>
        <w:t>万元。</w:t>
      </w:r>
      <w:r>
        <w:rPr>
          <w:rFonts w:hint="eastAsia" w:ascii="仿宋_GB2312" w:hAnsi="仿宋_GB2312" w:eastAsia="仿宋_GB2312" w:cs="仿宋_GB2312"/>
          <w:color w:val="auto"/>
          <w:kern w:val="0"/>
          <w:sz w:val="32"/>
          <w:szCs w:val="32"/>
        </w:rPr>
        <w:t>结余分配事项：无。与上年决算相比，增加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%，变动原因：不存在此项内容。</w:t>
      </w:r>
    </w:p>
    <w:p w14:paraId="7109AF05">
      <w:pPr>
        <w:pStyle w:val="23"/>
        <w:widowControl/>
        <w:spacing w:line="600" w:lineRule="exact"/>
        <w:ind w:firstLine="64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b/>
          <w:color w:val="auto"/>
          <w:kern w:val="0"/>
          <w:sz w:val="32"/>
          <w:szCs w:val="32"/>
        </w:rPr>
        <w:t>. 年末结转和结余</w:t>
      </w:r>
      <w:r>
        <w:rPr>
          <w:rFonts w:eastAsia="仿宋_GB2312"/>
          <w:b/>
          <w:color w:val="auto"/>
          <w:kern w:val="0"/>
          <w:sz w:val="32"/>
          <w:szCs w:val="32"/>
          <w:u w:val="single"/>
        </w:rPr>
        <w:t>116</w:t>
      </w:r>
      <w:r>
        <w:rPr>
          <w:rFonts w:hint="eastAsia" w:eastAsia="仿宋_GB2312"/>
          <w:b/>
          <w:color w:val="auto"/>
          <w:kern w:val="0"/>
          <w:sz w:val="32"/>
          <w:szCs w:val="32"/>
          <w:u w:val="single"/>
        </w:rPr>
        <w:t>.</w:t>
      </w:r>
      <w:r>
        <w:rPr>
          <w:rFonts w:eastAsia="仿宋_GB2312"/>
          <w:b/>
          <w:color w:val="auto"/>
          <w:kern w:val="0"/>
          <w:sz w:val="32"/>
          <w:szCs w:val="32"/>
          <w:u w:val="single"/>
        </w:rPr>
        <w:t>95</w:t>
      </w:r>
      <w:r>
        <w:rPr>
          <w:rFonts w:hint="eastAsia" w:eastAsia="仿宋_GB2312"/>
          <w:b/>
          <w:color w:val="auto"/>
          <w:kern w:val="0"/>
          <w:sz w:val="32"/>
          <w:szCs w:val="32"/>
        </w:rPr>
        <w:t>万元。</w:t>
      </w:r>
      <w:r>
        <w:rPr>
          <w:rFonts w:hint="eastAsia" w:ascii="仿宋_GB2312" w:hAnsi="仿宋_GB2312" w:eastAsia="仿宋_GB2312" w:cs="仿宋_GB2312"/>
          <w:color w:val="auto"/>
          <w:kern w:val="0"/>
          <w:sz w:val="32"/>
          <w:szCs w:val="32"/>
        </w:rPr>
        <w:t>结转和结余事项：项目支出结转</w:t>
      </w:r>
      <w:r>
        <w:rPr>
          <w:rFonts w:eastAsia="仿宋_GB2312"/>
          <w:color w:val="auto"/>
          <w:kern w:val="0"/>
          <w:sz w:val="32"/>
          <w:szCs w:val="32"/>
        </w:rPr>
        <w:t>116</w:t>
      </w:r>
      <w:r>
        <w:rPr>
          <w:rFonts w:hint="eastAsia" w:ascii="仿宋_GB2312" w:hAnsi="仿宋_GB2312" w:eastAsia="仿宋_GB2312" w:cs="仿宋_GB2312"/>
          <w:color w:val="auto"/>
          <w:kern w:val="0"/>
          <w:sz w:val="32"/>
          <w:szCs w:val="32"/>
        </w:rPr>
        <w:t>.</w:t>
      </w:r>
      <w:r>
        <w:rPr>
          <w:rFonts w:eastAsia="仿宋_GB2312"/>
          <w:color w:val="auto"/>
          <w:kern w:val="0"/>
          <w:sz w:val="32"/>
          <w:szCs w:val="32"/>
        </w:rPr>
        <w:t>95</w:t>
      </w:r>
      <w:r>
        <w:rPr>
          <w:rFonts w:hint="eastAsia" w:ascii="仿宋_GB2312" w:hAnsi="仿宋_GB2312" w:eastAsia="仿宋_GB2312" w:cs="仿宋_GB2312"/>
          <w:color w:val="auto"/>
          <w:kern w:val="0"/>
          <w:sz w:val="32"/>
          <w:szCs w:val="32"/>
        </w:rPr>
        <w:t>万元。与上年决算相比，增加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%，变动原因：无变动。</w:t>
      </w:r>
    </w:p>
    <w:p w14:paraId="3B92B76E">
      <w:pPr>
        <w:pStyle w:val="23"/>
        <w:widowControl/>
        <w:spacing w:line="600" w:lineRule="exact"/>
        <w:ind w:firstLine="643"/>
        <w:rPr>
          <w:rFonts w:eastAsia="Times New Roman"/>
          <w:color w:val="auto"/>
          <w:kern w:val="0"/>
          <w:sz w:val="24"/>
        </w:rPr>
      </w:pPr>
      <w:r>
        <w:rPr>
          <w:rFonts w:ascii="黑体" w:hAnsi="黑体" w:eastAsia="黑体" w:cs="黑体"/>
          <w:bCs/>
          <w:color w:val="auto"/>
          <w:kern w:val="0"/>
          <w:sz w:val="32"/>
          <w:szCs w:val="32"/>
        </w:rPr>
        <w:t>二、收入决算情况说明</w:t>
      </w:r>
    </w:p>
    <w:p w14:paraId="29EBB5E3">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年度本年收入决算合计</w:t>
      </w:r>
      <w:r>
        <w:rPr>
          <w:rFonts w:eastAsia="仿宋_GB2312"/>
          <w:color w:val="auto"/>
          <w:kern w:val="0"/>
          <w:sz w:val="32"/>
          <w:szCs w:val="32"/>
          <w:u w:val="single"/>
        </w:rPr>
        <w:t>12235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万元，其中：</w:t>
      </w:r>
    </w:p>
    <w:p w14:paraId="5244D4F6">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一般公共预算财政拨款收入</w:t>
      </w:r>
      <w:r>
        <w:rPr>
          <w:rFonts w:eastAsia="仿宋_GB2312"/>
          <w:color w:val="auto"/>
          <w:kern w:val="0"/>
          <w:sz w:val="32"/>
          <w:szCs w:val="32"/>
          <w:u w:val="single"/>
        </w:rPr>
        <w:t>12235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100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00</w:t>
      </w:r>
      <w:r>
        <w:rPr>
          <w:rFonts w:hint="eastAsia" w:ascii="仿宋_GB2312" w:hAnsi="仿宋_GB2312" w:eastAsia="仿宋_GB2312" w:cs="仿宋_GB2312"/>
          <w:color w:val="auto"/>
          <w:kern w:val="0"/>
          <w:sz w:val="32"/>
          <w:szCs w:val="32"/>
        </w:rPr>
        <w:t>%；</w:t>
      </w:r>
    </w:p>
    <w:p w14:paraId="30DBD816">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政府性基金预算财政拨款收入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62434396">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国有资本经营预算财政拨款收入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7A402530">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上级补助收入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6F97B06D">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事业收入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34B0BBC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经营收入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194D0D72">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附属单位上缴收入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17C0A478">
      <w:pPr>
        <w:pStyle w:val="23"/>
        <w:widowControl/>
        <w:spacing w:line="60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其他收入</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6A3F1672">
      <w:pPr>
        <w:widowControl/>
        <w:spacing w:before="240" w:after="240"/>
        <w:jc w:val="center"/>
        <w:rPr>
          <w:rFonts w:eastAsia="Times New Roman"/>
          <w:color w:val="auto"/>
          <w:kern w:val="0"/>
          <w:sz w:val="24"/>
        </w:rPr>
      </w:pPr>
      <w:r>
        <w:rPr>
          <w:rFonts w:eastAsia="Times New Roman"/>
          <w:color w:val="auto"/>
          <w:kern w:val="0"/>
          <w:sz w:val="24"/>
        </w:rPr>
        <w:drawing>
          <wp:inline distT="0" distB="0" distL="114300" distR="114300">
            <wp:extent cx="4925695" cy="2960370"/>
            <wp:effectExtent l="19050" t="0" r="7801"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928870" cy="2962550"/>
                    </a:xfrm>
                    <a:prstGeom prst="rect">
                      <a:avLst/>
                    </a:prstGeom>
                    <a:noFill/>
                    <a:ln>
                      <a:noFill/>
                    </a:ln>
                  </pic:spPr>
                </pic:pic>
              </a:graphicData>
            </a:graphic>
          </wp:inline>
        </w:drawing>
      </w:r>
      <w:r>
        <w:rPr>
          <w:rFonts w:eastAsia="Times New Roman"/>
          <w:color w:val="auto"/>
          <w:kern w:val="0"/>
          <w:sz w:val="24"/>
        </w:rPr>
        <w:t xml:space="preserve"> </w:t>
      </w:r>
    </w:p>
    <w:p w14:paraId="4FA1DBA3">
      <w:pPr>
        <w:widowControl/>
        <w:spacing w:line="380" w:lineRule="exact"/>
        <w:jc w:val="center"/>
        <w:rPr>
          <w:rFonts w:eastAsia="楷体_GB2312"/>
          <w:color w:val="auto"/>
          <w:kern w:val="0"/>
          <w:sz w:val="32"/>
          <w:szCs w:val="32"/>
        </w:rPr>
      </w:pPr>
      <w:r>
        <w:rPr>
          <w:rFonts w:eastAsia="楷体_GB2312"/>
          <w:color w:val="auto"/>
          <w:kern w:val="0"/>
          <w:sz w:val="32"/>
          <w:szCs w:val="32"/>
        </w:rPr>
        <w:t>图1.收入决算图</w:t>
      </w:r>
    </w:p>
    <w:p w14:paraId="4A24221F">
      <w:pPr>
        <w:pStyle w:val="23"/>
        <w:widowControl/>
        <w:spacing w:line="580" w:lineRule="exact"/>
        <w:ind w:firstLine="643"/>
        <w:jc w:val="left"/>
        <w:rPr>
          <w:rFonts w:eastAsia="Times New Roman"/>
          <w:color w:val="auto"/>
          <w:kern w:val="0"/>
          <w:sz w:val="24"/>
        </w:rPr>
      </w:pPr>
      <w:r>
        <w:rPr>
          <w:rFonts w:ascii="黑体" w:hAnsi="黑体" w:eastAsia="黑体" w:cs="黑体"/>
          <w:bCs/>
          <w:color w:val="auto"/>
          <w:kern w:val="0"/>
          <w:sz w:val="32"/>
          <w:szCs w:val="32"/>
        </w:rPr>
        <w:t>三、支出决算情况说明</w:t>
      </w:r>
    </w:p>
    <w:p w14:paraId="019E1857">
      <w:pPr>
        <w:pStyle w:val="23"/>
        <w:widowControl/>
        <w:spacing w:line="58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年度本年支出决算合计</w:t>
      </w:r>
      <w:r>
        <w:rPr>
          <w:rFonts w:eastAsia="仿宋_GB2312"/>
          <w:color w:val="auto"/>
          <w:kern w:val="0"/>
          <w:sz w:val="32"/>
          <w:szCs w:val="32"/>
          <w:u w:val="single"/>
        </w:rPr>
        <w:t>12235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万元，其中：</w:t>
      </w:r>
    </w:p>
    <w:p w14:paraId="5A369FB6">
      <w:pPr>
        <w:pStyle w:val="23"/>
        <w:widowControl/>
        <w:spacing w:line="58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基本支出</w:t>
      </w:r>
      <w:r>
        <w:rPr>
          <w:rFonts w:eastAsia="仿宋_GB2312"/>
          <w:color w:val="auto"/>
          <w:kern w:val="0"/>
          <w:sz w:val="32"/>
          <w:szCs w:val="32"/>
          <w:u w:val="single"/>
        </w:rPr>
        <w:t>8112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70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66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30</w:t>
      </w:r>
      <w:r>
        <w:rPr>
          <w:rFonts w:hint="eastAsia" w:ascii="仿宋_GB2312" w:hAnsi="仿宋_GB2312" w:eastAsia="仿宋_GB2312" w:cs="仿宋_GB2312"/>
          <w:color w:val="auto"/>
          <w:kern w:val="0"/>
          <w:sz w:val="32"/>
          <w:szCs w:val="32"/>
        </w:rPr>
        <w:t>%；</w:t>
      </w:r>
    </w:p>
    <w:p w14:paraId="6452FBAF">
      <w:pPr>
        <w:pStyle w:val="23"/>
        <w:widowControl/>
        <w:spacing w:line="58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项目支出</w:t>
      </w:r>
      <w:r>
        <w:rPr>
          <w:rFonts w:eastAsia="仿宋_GB2312"/>
          <w:color w:val="auto"/>
          <w:kern w:val="0"/>
          <w:sz w:val="32"/>
          <w:szCs w:val="32"/>
          <w:u w:val="single"/>
        </w:rPr>
        <w:t>4122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33</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70</w:t>
      </w:r>
      <w:r>
        <w:rPr>
          <w:rFonts w:hint="eastAsia" w:ascii="仿宋_GB2312" w:hAnsi="仿宋_GB2312" w:eastAsia="仿宋_GB2312" w:cs="仿宋_GB2312"/>
          <w:color w:val="auto"/>
          <w:kern w:val="0"/>
          <w:sz w:val="32"/>
          <w:szCs w:val="32"/>
        </w:rPr>
        <w:t>%；</w:t>
      </w:r>
    </w:p>
    <w:p w14:paraId="6B3C82D2">
      <w:pPr>
        <w:pStyle w:val="23"/>
        <w:widowControl/>
        <w:spacing w:line="58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上缴上级支出</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69700313">
      <w:pPr>
        <w:pStyle w:val="23"/>
        <w:widowControl/>
        <w:spacing w:line="58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经营支出</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4E8862D4">
      <w:pPr>
        <w:pStyle w:val="23"/>
        <w:widowControl/>
        <w:spacing w:line="580" w:lineRule="exact"/>
        <w:ind w:firstLine="64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对附属单位补助支出</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w:t>
      </w:r>
    </w:p>
    <w:p w14:paraId="5FD794D0">
      <w:pPr>
        <w:widowControl/>
        <w:spacing w:before="240" w:after="240"/>
        <w:jc w:val="center"/>
        <w:rPr>
          <w:rFonts w:eastAsia="Times New Roman"/>
          <w:color w:val="auto"/>
          <w:kern w:val="0"/>
          <w:sz w:val="24"/>
        </w:rPr>
      </w:pPr>
      <w:r>
        <w:rPr>
          <w:rFonts w:eastAsia="Times New Roman"/>
          <w:color w:val="auto"/>
          <w:kern w:val="0"/>
          <w:sz w:val="24"/>
        </w:rPr>
        <w:drawing>
          <wp:inline distT="0" distB="0" distL="114300" distR="114300">
            <wp:extent cx="5387975" cy="3367405"/>
            <wp:effectExtent l="0" t="0" r="317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387975" cy="3367405"/>
                    </a:xfrm>
                    <a:prstGeom prst="rect">
                      <a:avLst/>
                    </a:prstGeom>
                    <a:noFill/>
                    <a:ln>
                      <a:noFill/>
                    </a:ln>
                  </pic:spPr>
                </pic:pic>
              </a:graphicData>
            </a:graphic>
          </wp:inline>
        </w:drawing>
      </w:r>
    </w:p>
    <w:p w14:paraId="1BDB13D8">
      <w:pPr>
        <w:widowControl/>
        <w:spacing w:line="600" w:lineRule="exact"/>
        <w:jc w:val="center"/>
        <w:rPr>
          <w:rFonts w:eastAsia="楷体_GB2312"/>
          <w:color w:val="auto"/>
          <w:kern w:val="0"/>
          <w:sz w:val="32"/>
          <w:szCs w:val="32"/>
        </w:rPr>
      </w:pPr>
      <w:r>
        <w:rPr>
          <w:rFonts w:eastAsia="楷体_GB2312"/>
          <w:color w:val="auto"/>
          <w:kern w:val="0"/>
          <w:sz w:val="32"/>
          <w:szCs w:val="32"/>
        </w:rPr>
        <w:t>图2.支出决算图</w:t>
      </w:r>
    </w:p>
    <w:p w14:paraId="7AB8E928">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四、财政拨款收入支出决算总体情况说明</w:t>
      </w:r>
    </w:p>
    <w:p w14:paraId="6AE5C866">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年度财政拨款收入、支出决算总计均为</w:t>
      </w:r>
      <w:r>
        <w:rPr>
          <w:rFonts w:eastAsia="仿宋_GB2312"/>
          <w:color w:val="auto"/>
          <w:kern w:val="0"/>
          <w:sz w:val="32"/>
          <w:szCs w:val="32"/>
          <w:u w:val="single"/>
        </w:rPr>
        <w:t>12352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55</w:t>
      </w:r>
      <w:r>
        <w:rPr>
          <w:rFonts w:hint="eastAsia" w:ascii="仿宋_GB2312" w:hAnsi="仿宋_GB2312" w:eastAsia="仿宋_GB2312" w:cs="仿宋_GB2312"/>
          <w:color w:val="auto"/>
          <w:kern w:val="0"/>
          <w:sz w:val="32"/>
          <w:szCs w:val="32"/>
        </w:rPr>
        <w:t>万元，与年初预算相比，收、支总计各减少</w:t>
      </w:r>
      <w:r>
        <w:rPr>
          <w:rFonts w:eastAsia="仿宋_GB2312"/>
          <w:color w:val="auto"/>
          <w:kern w:val="0"/>
          <w:sz w:val="32"/>
          <w:szCs w:val="32"/>
          <w:u w:val="single"/>
        </w:rPr>
        <w:t>43</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39</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35</w:t>
      </w:r>
      <w:r>
        <w:rPr>
          <w:rFonts w:hint="eastAsia" w:ascii="仿宋_GB2312" w:hAnsi="仿宋_GB2312" w:eastAsia="仿宋_GB2312" w:cs="仿宋_GB2312"/>
          <w:color w:val="auto"/>
          <w:kern w:val="0"/>
          <w:sz w:val="32"/>
          <w:szCs w:val="32"/>
        </w:rPr>
        <w:t>%，变动原因：本年度我院严格落实过紧日子要求，严格审核执行公务活动开支范围和经费，导致与年初预算相比收支减少；与上年决算相比，收、支总计各减少</w:t>
      </w:r>
      <w:r>
        <w:rPr>
          <w:rFonts w:eastAsia="仿宋_GB2312"/>
          <w:color w:val="auto"/>
          <w:kern w:val="0"/>
          <w:sz w:val="32"/>
          <w:szCs w:val="32"/>
          <w:u w:val="single"/>
        </w:rPr>
        <w:t>2347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15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97</w:t>
      </w:r>
      <w:r>
        <w:rPr>
          <w:rFonts w:hint="eastAsia" w:ascii="仿宋_GB2312" w:hAnsi="仿宋_GB2312" w:eastAsia="仿宋_GB2312" w:cs="仿宋_GB2312"/>
          <w:color w:val="auto"/>
          <w:kern w:val="0"/>
          <w:sz w:val="32"/>
          <w:szCs w:val="32"/>
        </w:rPr>
        <w:t>%，变动原因：本年度本着过紧日子要求，进一步压减一般性支出，收入支出较上年减少。</w:t>
      </w:r>
    </w:p>
    <w:p w14:paraId="4FFFBE38">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五、一般公共预算财政拨款支出决算情况说明</w:t>
      </w:r>
    </w:p>
    <w:p w14:paraId="405368E1">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年度一般公共预算财政拨款支出决算</w:t>
      </w:r>
      <w:r>
        <w:rPr>
          <w:rFonts w:eastAsia="仿宋_GB2312"/>
          <w:color w:val="auto"/>
          <w:kern w:val="0"/>
          <w:sz w:val="32"/>
          <w:szCs w:val="32"/>
          <w:u w:val="single"/>
        </w:rPr>
        <w:t>12235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万元。与年初预算</w:t>
      </w:r>
      <w:r>
        <w:rPr>
          <w:rFonts w:eastAsia="仿宋_GB2312"/>
          <w:color w:val="auto"/>
          <w:kern w:val="0"/>
          <w:sz w:val="32"/>
          <w:szCs w:val="32"/>
          <w:u w:val="single"/>
        </w:rPr>
        <w:t>12395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93</w:t>
      </w:r>
      <w:r>
        <w:rPr>
          <w:rFonts w:hint="eastAsia" w:ascii="仿宋_GB2312" w:hAnsi="仿宋_GB2312" w:eastAsia="仿宋_GB2312" w:cs="仿宋_GB2312"/>
          <w:color w:val="auto"/>
          <w:kern w:val="0"/>
          <w:sz w:val="32"/>
          <w:szCs w:val="32"/>
        </w:rPr>
        <w:t>万元相比，完成年初预算的</w:t>
      </w:r>
      <w:r>
        <w:rPr>
          <w:rFonts w:eastAsia="仿宋_GB2312"/>
          <w:color w:val="auto"/>
          <w:kern w:val="0"/>
          <w:sz w:val="32"/>
          <w:szCs w:val="32"/>
          <w:u w:val="single"/>
        </w:rPr>
        <w:t>98</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71</w:t>
      </w:r>
      <w:r>
        <w:rPr>
          <w:rFonts w:hint="eastAsia" w:ascii="仿宋_GB2312" w:hAnsi="仿宋_GB2312" w:eastAsia="仿宋_GB2312" w:cs="仿宋_GB2312"/>
          <w:color w:val="auto"/>
          <w:kern w:val="0"/>
          <w:sz w:val="32"/>
          <w:szCs w:val="32"/>
        </w:rPr>
        <w:t>%。其中：</w:t>
      </w:r>
    </w:p>
    <w:p w14:paraId="336C9D69">
      <w:pPr>
        <w:pStyle w:val="23"/>
        <w:widowControl/>
        <w:spacing w:line="600" w:lineRule="exact"/>
        <w:ind w:firstLine="640" w:firstLineChars="200"/>
        <w:rPr>
          <w:rFonts w:hint="eastAsia" w:ascii="楷体_GB2312" w:eastAsia="楷体_GB2312"/>
          <w:color w:val="auto"/>
          <w:kern w:val="0"/>
          <w:sz w:val="24"/>
        </w:rPr>
      </w:pPr>
      <w:r>
        <w:rPr>
          <w:rFonts w:hint="eastAsia" w:ascii="楷体_GB2312" w:hAnsi="楷体" w:eastAsia="楷体_GB2312" w:cs="楷体"/>
          <w:bCs/>
          <w:color w:val="auto"/>
          <w:kern w:val="0"/>
          <w:sz w:val="32"/>
          <w:szCs w:val="32"/>
        </w:rPr>
        <w:t>（一）一般公共服务（类）</w:t>
      </w:r>
    </w:p>
    <w:p w14:paraId="2157352C">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一般公共服务（类）决算数为</w:t>
      </w:r>
      <w:r>
        <w:rPr>
          <w:rFonts w:eastAsia="仿宋_GB2312"/>
          <w:color w:val="auto"/>
          <w:kern w:val="0"/>
          <w:sz w:val="32"/>
          <w:szCs w:val="32"/>
          <w:u w:val="single"/>
        </w:rPr>
        <w:t>33</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67</w:t>
      </w:r>
      <w:r>
        <w:rPr>
          <w:rFonts w:hint="eastAsia" w:ascii="仿宋_GB2312" w:hAnsi="仿宋_GB2312" w:eastAsia="仿宋_GB2312" w:cs="仿宋_GB2312"/>
          <w:color w:val="auto"/>
          <w:kern w:val="0"/>
          <w:sz w:val="32"/>
          <w:szCs w:val="32"/>
        </w:rPr>
        <w:t>万元，与年初预算相比增加</w:t>
      </w:r>
      <w:r>
        <w:rPr>
          <w:rFonts w:eastAsia="仿宋_GB2312"/>
          <w:color w:val="auto"/>
          <w:kern w:val="0"/>
          <w:sz w:val="32"/>
          <w:szCs w:val="32"/>
          <w:u w:val="single"/>
        </w:rPr>
        <w:t>33</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67</w:t>
      </w:r>
      <w:r>
        <w:rPr>
          <w:rFonts w:hint="eastAsia" w:ascii="仿宋_GB2312" w:hAnsi="仿宋_GB2312" w:eastAsia="仿宋_GB2312" w:cs="仿宋_GB2312"/>
          <w:color w:val="auto"/>
          <w:kern w:val="0"/>
          <w:sz w:val="32"/>
          <w:szCs w:val="32"/>
        </w:rPr>
        <w:t>万元。其中：</w:t>
      </w:r>
    </w:p>
    <w:p w14:paraId="3AA1F8DE">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 其他一般公共服务支出（款）国家赔偿费用支出（项）。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rPr>
        <w:t>0</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rPr>
        <w:t>33</w:t>
      </w:r>
      <w:r>
        <w:rPr>
          <w:rFonts w:hint="eastAsia" w:ascii="仿宋_GB2312" w:hAnsi="仿宋_GB2312" w:eastAsia="仿宋_GB2312" w:cs="仿宋_GB2312"/>
          <w:color w:val="auto"/>
          <w:kern w:val="0"/>
          <w:sz w:val="32"/>
          <w:szCs w:val="32"/>
        </w:rPr>
        <w:t>.</w:t>
      </w:r>
      <w:r>
        <w:rPr>
          <w:rFonts w:eastAsia="仿宋_GB2312"/>
          <w:color w:val="auto"/>
          <w:kern w:val="0"/>
          <w:sz w:val="32"/>
          <w:szCs w:val="32"/>
        </w:rPr>
        <w:t>67</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rPr>
        <w:t>0</w:t>
      </w:r>
      <w:r>
        <w:rPr>
          <w:rFonts w:hint="eastAsia" w:ascii="仿宋_GB2312" w:hAnsi="仿宋_GB2312" w:eastAsia="仿宋_GB2312" w:cs="仿宋_GB2312"/>
          <w:color w:val="auto"/>
          <w:kern w:val="0"/>
          <w:sz w:val="32"/>
          <w:szCs w:val="32"/>
        </w:rPr>
        <w:t>%。决算数与年初预算数的差异原因：国家赔偿费用为年中追加经费。</w:t>
      </w:r>
    </w:p>
    <w:p w14:paraId="5CE955F3">
      <w:pPr>
        <w:pStyle w:val="23"/>
        <w:widowControl/>
        <w:spacing w:line="600" w:lineRule="exact"/>
        <w:ind w:firstLine="640" w:firstLineChars="200"/>
        <w:rPr>
          <w:rFonts w:ascii="楷体_GB2312" w:hAnsi="楷体" w:eastAsia="楷体_GB2312" w:cs="楷体"/>
          <w:bCs/>
          <w:color w:val="auto"/>
          <w:kern w:val="0"/>
          <w:sz w:val="32"/>
          <w:szCs w:val="32"/>
        </w:rPr>
      </w:pPr>
      <w:r>
        <w:rPr>
          <w:rFonts w:ascii="楷体_GB2312" w:hAnsi="楷体" w:eastAsia="楷体_GB2312" w:cs="楷体"/>
          <w:bCs/>
          <w:color w:val="auto"/>
          <w:kern w:val="0"/>
          <w:sz w:val="32"/>
          <w:szCs w:val="32"/>
        </w:rPr>
        <w:t>（二）公共安全（类）</w:t>
      </w:r>
    </w:p>
    <w:p w14:paraId="02487C09">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公共安全（类）决算数为</w:t>
      </w:r>
      <w:r>
        <w:rPr>
          <w:rFonts w:eastAsia="仿宋_GB2312"/>
          <w:color w:val="auto"/>
          <w:kern w:val="0"/>
          <w:sz w:val="32"/>
          <w:szCs w:val="32"/>
          <w:u w:val="single"/>
        </w:rPr>
        <w:t>10109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46</w:t>
      </w:r>
      <w:r>
        <w:rPr>
          <w:rFonts w:hint="eastAsia" w:ascii="仿宋_GB2312" w:hAnsi="仿宋_GB2312" w:eastAsia="仿宋_GB2312" w:cs="仿宋_GB2312"/>
          <w:color w:val="auto"/>
          <w:kern w:val="0"/>
          <w:sz w:val="32"/>
          <w:szCs w:val="32"/>
        </w:rPr>
        <w:t>万元，与年初预算相比减少</w:t>
      </w:r>
      <w:r>
        <w:rPr>
          <w:rFonts w:eastAsia="仿宋_GB2312"/>
          <w:color w:val="auto"/>
          <w:kern w:val="0"/>
          <w:sz w:val="32"/>
          <w:szCs w:val="32"/>
          <w:u w:val="single"/>
        </w:rPr>
        <w:t>357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18</w:t>
      </w:r>
      <w:r>
        <w:rPr>
          <w:rFonts w:hint="eastAsia" w:ascii="仿宋_GB2312" w:hAnsi="仿宋_GB2312" w:eastAsia="仿宋_GB2312" w:cs="仿宋_GB2312"/>
          <w:color w:val="auto"/>
          <w:kern w:val="0"/>
          <w:sz w:val="32"/>
          <w:szCs w:val="32"/>
        </w:rPr>
        <w:t>万元。其中：</w:t>
      </w:r>
    </w:p>
    <w:p w14:paraId="11CC8B71">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eastAsia="仿宋_GB2312"/>
          <w:b/>
          <w:color w:val="auto"/>
          <w:kern w:val="0"/>
          <w:sz w:val="32"/>
          <w:szCs w:val="32"/>
        </w:rPr>
        <w:t>. 检察（款）行政运行（项）。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rPr>
        <w:t>6030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59</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rPr>
        <w:t>6054</w:t>
      </w:r>
      <w:r>
        <w:rPr>
          <w:rFonts w:hint="eastAsia" w:ascii="仿宋_GB2312" w:hAnsi="仿宋_GB2312" w:eastAsia="仿宋_GB2312" w:cs="仿宋_GB2312"/>
          <w:color w:val="auto"/>
          <w:kern w:val="0"/>
          <w:sz w:val="32"/>
          <w:szCs w:val="32"/>
        </w:rPr>
        <w:t>.</w:t>
      </w:r>
      <w:r>
        <w:rPr>
          <w:rFonts w:eastAsia="仿宋_GB2312"/>
          <w:color w:val="auto"/>
          <w:kern w:val="0"/>
          <w:sz w:val="32"/>
          <w:szCs w:val="32"/>
        </w:rPr>
        <w:t>23</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rPr>
        <w:t>100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39</w:t>
      </w:r>
      <w:r>
        <w:rPr>
          <w:rFonts w:hint="eastAsia" w:ascii="仿宋_GB2312" w:hAnsi="仿宋_GB2312" w:eastAsia="仿宋_GB2312" w:cs="仿宋_GB2312"/>
          <w:color w:val="auto"/>
          <w:kern w:val="0"/>
          <w:sz w:val="32"/>
          <w:szCs w:val="32"/>
        </w:rPr>
        <w:t>%。决算数与年初预算数的差异原因：本年度有调入人员，基本支出有年中追加。</w:t>
      </w:r>
    </w:p>
    <w:p w14:paraId="050E4CFE">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b/>
          <w:color w:val="auto"/>
          <w:kern w:val="0"/>
          <w:sz w:val="32"/>
          <w:szCs w:val="32"/>
        </w:rPr>
        <w:t>. 检察（款）一般行政管理事务（项）。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rPr>
        <w:t>4120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05</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rPr>
        <w:t>3743</w:t>
      </w:r>
      <w:r>
        <w:rPr>
          <w:rFonts w:hint="eastAsia" w:ascii="仿宋_GB2312" w:hAnsi="仿宋_GB2312" w:eastAsia="仿宋_GB2312" w:cs="仿宋_GB2312"/>
          <w:color w:val="auto"/>
          <w:kern w:val="0"/>
          <w:sz w:val="32"/>
          <w:szCs w:val="32"/>
        </w:rPr>
        <w:t>.</w:t>
      </w:r>
      <w:r>
        <w:rPr>
          <w:rFonts w:eastAsia="仿宋_GB2312"/>
          <w:color w:val="auto"/>
          <w:kern w:val="0"/>
          <w:sz w:val="32"/>
          <w:szCs w:val="32"/>
        </w:rPr>
        <w:t>51</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rPr>
        <w:t>90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86</w:t>
      </w:r>
      <w:r>
        <w:rPr>
          <w:rFonts w:hint="eastAsia" w:ascii="仿宋_GB2312" w:hAnsi="仿宋_GB2312" w:eastAsia="仿宋_GB2312" w:cs="仿宋_GB2312"/>
          <w:color w:val="auto"/>
          <w:kern w:val="0"/>
          <w:sz w:val="32"/>
          <w:szCs w:val="32"/>
        </w:rPr>
        <w:t>%。决算数与年初预算数的差异原因：当年存在未支付完成的办案业务费、服装费、业务装备费等，已申请结转至下一年使用。</w:t>
      </w:r>
    </w:p>
    <w:p w14:paraId="0C1FC797">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b/>
          <w:color w:val="auto"/>
          <w:kern w:val="0"/>
          <w:sz w:val="32"/>
          <w:szCs w:val="32"/>
        </w:rPr>
        <w:t>. 检察（款）其他检察支出（项）。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rPr>
        <w:t>286</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rPr>
        <w:t>285</w:t>
      </w:r>
      <w:r>
        <w:rPr>
          <w:rFonts w:hint="eastAsia" w:ascii="仿宋_GB2312" w:hAnsi="仿宋_GB2312" w:eastAsia="仿宋_GB2312" w:cs="仿宋_GB2312"/>
          <w:color w:val="auto"/>
          <w:kern w:val="0"/>
          <w:sz w:val="32"/>
          <w:szCs w:val="32"/>
        </w:rPr>
        <w:t>.</w:t>
      </w:r>
      <w:r>
        <w:rPr>
          <w:rFonts w:eastAsia="仿宋_GB2312"/>
          <w:color w:val="auto"/>
          <w:kern w:val="0"/>
          <w:sz w:val="32"/>
          <w:szCs w:val="32"/>
        </w:rPr>
        <w:t>42</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rPr>
        <w:t>99</w:t>
      </w:r>
      <w:r>
        <w:rPr>
          <w:rFonts w:hint="eastAsia" w:ascii="仿宋_GB2312" w:hAnsi="仿宋_GB2312" w:eastAsia="仿宋_GB2312" w:cs="仿宋_GB2312"/>
          <w:color w:val="auto"/>
          <w:kern w:val="0"/>
          <w:sz w:val="32"/>
          <w:szCs w:val="32"/>
        </w:rPr>
        <w:t>.</w:t>
      </w:r>
      <w:r>
        <w:rPr>
          <w:rFonts w:eastAsia="仿宋_GB2312"/>
          <w:color w:val="auto"/>
          <w:kern w:val="0"/>
          <w:sz w:val="32"/>
          <w:szCs w:val="32"/>
        </w:rPr>
        <w:t>8</w:t>
      </w:r>
      <w:r>
        <w:rPr>
          <w:rFonts w:hint="eastAsia" w:ascii="仿宋_GB2312" w:hAnsi="仿宋_GB2312" w:eastAsia="仿宋_GB2312" w:cs="仿宋_GB2312"/>
          <w:color w:val="auto"/>
          <w:kern w:val="0"/>
          <w:sz w:val="32"/>
          <w:szCs w:val="32"/>
        </w:rPr>
        <w:t>%。决算数与年初预算数的差异原因：年初预算为整数编报，实际支出为政府采购中标金额，故存在差额。</w:t>
      </w:r>
    </w:p>
    <w:p w14:paraId="773257B6">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4</w:t>
      </w:r>
      <w:r>
        <w:rPr>
          <w:rFonts w:hint="eastAsia" w:eastAsia="仿宋_GB2312"/>
          <w:b/>
          <w:color w:val="auto"/>
          <w:kern w:val="0"/>
          <w:sz w:val="32"/>
          <w:szCs w:val="32"/>
        </w:rPr>
        <w:t>. 其</w:t>
      </w:r>
      <w:r>
        <w:rPr>
          <w:rFonts w:hint="eastAsia" w:eastAsia="仿宋_GB2312"/>
          <w:b/>
          <w:color w:val="auto"/>
          <w:spacing w:val="-4"/>
          <w:kern w:val="0"/>
          <w:sz w:val="32"/>
          <w:szCs w:val="32"/>
        </w:rPr>
        <w:t>他公共安全支出（款）国家司法救助支出（项）。</w:t>
      </w:r>
      <w:r>
        <w:rPr>
          <w:rFonts w:hint="eastAsia" w:ascii="仿宋_GB2312" w:hAnsi="仿宋_GB2312" w:eastAsia="仿宋_GB2312" w:cs="仿宋_GB2312"/>
          <w:color w:val="auto"/>
          <w:spacing w:val="-4"/>
          <w:kern w:val="0"/>
          <w:sz w:val="32"/>
          <w:szCs w:val="32"/>
        </w:rPr>
        <w:t>年初预算</w:t>
      </w:r>
      <w:r>
        <w:rPr>
          <w:rFonts w:eastAsia="仿宋_GB2312"/>
          <w:color w:val="auto"/>
          <w:spacing w:val="-4"/>
          <w:kern w:val="0"/>
          <w:sz w:val="32"/>
          <w:szCs w:val="32"/>
        </w:rPr>
        <w:t>30</w:t>
      </w:r>
      <w:r>
        <w:rPr>
          <w:rFonts w:hint="eastAsia" w:ascii="仿宋_GB2312" w:hAnsi="仿宋_GB2312" w:eastAsia="仿宋_GB2312" w:cs="仿宋_GB2312"/>
          <w:color w:val="auto"/>
          <w:spacing w:val="-4"/>
          <w:kern w:val="0"/>
          <w:sz w:val="32"/>
          <w:szCs w:val="32"/>
        </w:rPr>
        <w:t>万元，支出决算</w:t>
      </w:r>
      <w:r>
        <w:rPr>
          <w:rFonts w:eastAsia="仿宋_GB2312"/>
          <w:color w:val="auto"/>
          <w:spacing w:val="-4"/>
          <w:kern w:val="0"/>
          <w:sz w:val="32"/>
          <w:szCs w:val="32"/>
        </w:rPr>
        <w:t>26</w:t>
      </w:r>
      <w:r>
        <w:rPr>
          <w:rFonts w:hint="eastAsia" w:ascii="仿宋_GB2312" w:hAnsi="仿宋_GB2312" w:eastAsia="仿宋_GB2312" w:cs="仿宋_GB2312"/>
          <w:color w:val="auto"/>
          <w:spacing w:val="-4"/>
          <w:kern w:val="0"/>
          <w:sz w:val="32"/>
          <w:szCs w:val="32"/>
        </w:rPr>
        <w:t>.</w:t>
      </w:r>
      <w:r>
        <w:rPr>
          <w:rFonts w:eastAsia="仿宋_GB2312"/>
          <w:color w:val="auto"/>
          <w:spacing w:val="-4"/>
          <w:kern w:val="0"/>
          <w:sz w:val="32"/>
          <w:szCs w:val="32"/>
        </w:rPr>
        <w:t>3</w:t>
      </w:r>
      <w:r>
        <w:rPr>
          <w:rFonts w:hint="eastAsia" w:ascii="仿宋_GB2312" w:hAnsi="仿宋_GB2312" w:eastAsia="仿宋_GB2312" w:cs="仿宋_GB2312"/>
          <w:color w:val="auto"/>
          <w:spacing w:val="-4"/>
          <w:kern w:val="0"/>
          <w:sz w:val="32"/>
          <w:szCs w:val="32"/>
        </w:rPr>
        <w:t>万元，完成年初预算的</w:t>
      </w:r>
      <w:r>
        <w:rPr>
          <w:rFonts w:eastAsia="仿宋_GB2312"/>
          <w:color w:val="auto"/>
          <w:spacing w:val="-4"/>
          <w:kern w:val="0"/>
          <w:sz w:val="32"/>
          <w:szCs w:val="32"/>
        </w:rPr>
        <w:t>88</w:t>
      </w:r>
      <w:r>
        <w:rPr>
          <w:rFonts w:hint="eastAsia" w:ascii="仿宋_GB2312" w:hAnsi="仿宋_GB2312" w:eastAsia="仿宋_GB2312" w:cs="仿宋_GB2312"/>
          <w:color w:val="auto"/>
          <w:spacing w:val="-4"/>
          <w:kern w:val="0"/>
          <w:sz w:val="32"/>
          <w:szCs w:val="32"/>
        </w:rPr>
        <w:t>%。决算数与年初预算数的差异原因：本年度司法救助案件量减少。</w:t>
      </w:r>
    </w:p>
    <w:p w14:paraId="17091CF7">
      <w:pPr>
        <w:pStyle w:val="23"/>
        <w:widowControl/>
        <w:spacing w:line="600" w:lineRule="exact"/>
        <w:ind w:firstLine="640" w:firstLineChars="200"/>
        <w:rPr>
          <w:rFonts w:ascii="楷体_GB2312" w:hAnsi="楷体" w:eastAsia="楷体_GB2312" w:cs="楷体"/>
          <w:bCs/>
          <w:color w:val="auto"/>
          <w:kern w:val="0"/>
          <w:sz w:val="32"/>
          <w:szCs w:val="32"/>
        </w:rPr>
      </w:pPr>
      <w:r>
        <w:rPr>
          <w:rFonts w:ascii="楷体_GB2312" w:hAnsi="楷体" w:eastAsia="楷体_GB2312" w:cs="楷体"/>
          <w:bCs/>
          <w:color w:val="auto"/>
          <w:kern w:val="0"/>
          <w:sz w:val="32"/>
          <w:szCs w:val="32"/>
        </w:rPr>
        <w:t>（三）社会保障和就业支出（类）</w:t>
      </w:r>
    </w:p>
    <w:p w14:paraId="39F4CC04">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社会保障和就业支出（类）决算数为</w:t>
      </w:r>
      <w:r>
        <w:rPr>
          <w:rFonts w:eastAsia="仿宋_GB2312"/>
          <w:color w:val="auto"/>
          <w:kern w:val="0"/>
          <w:sz w:val="32"/>
          <w:szCs w:val="32"/>
          <w:u w:val="single"/>
        </w:rPr>
        <w:t>1215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80</w:t>
      </w:r>
      <w:r>
        <w:rPr>
          <w:rFonts w:hint="eastAsia" w:ascii="仿宋_GB2312" w:hAnsi="仿宋_GB2312" w:eastAsia="仿宋_GB2312" w:cs="仿宋_GB2312"/>
          <w:color w:val="auto"/>
          <w:kern w:val="0"/>
          <w:sz w:val="32"/>
          <w:szCs w:val="32"/>
        </w:rPr>
        <w:t>万元，与年初预算相比增加</w:t>
      </w:r>
      <w:r>
        <w:rPr>
          <w:rFonts w:eastAsia="仿宋_GB2312"/>
          <w:color w:val="auto"/>
          <w:kern w:val="0"/>
          <w:sz w:val="32"/>
          <w:szCs w:val="32"/>
          <w:u w:val="single"/>
        </w:rPr>
        <w:t>190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58</w:t>
      </w:r>
      <w:r>
        <w:rPr>
          <w:rFonts w:hint="eastAsia" w:ascii="仿宋_GB2312" w:hAnsi="仿宋_GB2312" w:eastAsia="仿宋_GB2312" w:cs="仿宋_GB2312"/>
          <w:color w:val="auto"/>
          <w:kern w:val="0"/>
          <w:sz w:val="32"/>
          <w:szCs w:val="32"/>
        </w:rPr>
        <w:t>万元。其中：</w:t>
      </w:r>
    </w:p>
    <w:p w14:paraId="7A88CDBE">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eastAsia="仿宋_GB2312"/>
          <w:b/>
          <w:color w:val="auto"/>
          <w:kern w:val="0"/>
          <w:sz w:val="32"/>
          <w:szCs w:val="32"/>
        </w:rPr>
        <w:t>. 人力资源和社会保障管理事务（款）引进人才费用（项）。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rPr>
        <w:t>34</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rPr>
        <w:t>34</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rPr>
        <w:t>100</w:t>
      </w:r>
      <w:r>
        <w:rPr>
          <w:rFonts w:hint="eastAsia" w:ascii="仿宋_GB2312" w:hAnsi="仿宋_GB2312" w:eastAsia="仿宋_GB2312" w:cs="仿宋_GB2312"/>
          <w:color w:val="auto"/>
          <w:kern w:val="0"/>
          <w:sz w:val="32"/>
          <w:szCs w:val="32"/>
        </w:rPr>
        <w:t>%。决算数与年初预算数的差异原因：无差异。</w:t>
      </w:r>
    </w:p>
    <w:p w14:paraId="6FB8602A">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b/>
          <w:color w:val="auto"/>
          <w:kern w:val="0"/>
          <w:sz w:val="32"/>
          <w:szCs w:val="32"/>
        </w:rPr>
        <w:t>. 行政事业单位养老支出（款）行政单位离退休（项）。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color="000000"/>
        </w:rPr>
        <w:t>371</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86</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color="000000"/>
        </w:rPr>
        <w:t>372</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7</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u w:val="single" w:color="000000"/>
        </w:rPr>
        <w:t>100</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23</w:t>
      </w:r>
      <w:r>
        <w:rPr>
          <w:rFonts w:hint="eastAsia" w:ascii="仿宋_GB2312" w:hAnsi="仿宋_GB2312" w:eastAsia="仿宋_GB2312" w:cs="仿宋_GB2312"/>
          <w:color w:val="auto"/>
          <w:kern w:val="0"/>
          <w:sz w:val="32"/>
          <w:szCs w:val="32"/>
        </w:rPr>
        <w:t>%。决算数与年初预算数的差异原因：本年度新增退休人员，导致支出增加。</w:t>
      </w:r>
    </w:p>
    <w:p w14:paraId="782C14A6">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3</w:t>
      </w:r>
      <w:r>
        <w:rPr>
          <w:rFonts w:hint="eastAsia" w:eastAsia="仿宋_GB2312"/>
          <w:b/>
          <w:color w:val="auto"/>
          <w:kern w:val="0"/>
          <w:sz w:val="32"/>
          <w:szCs w:val="32"/>
        </w:rPr>
        <w:t>. 行政事业单位养老支出（款）机关事业单位基本养老保险缴费支出（项）。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color="000000"/>
        </w:rPr>
        <w:t>412</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91</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color="000000"/>
        </w:rPr>
        <w:t>460</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06</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u w:val="single" w:color="000000"/>
        </w:rPr>
        <w:t>111</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42</w:t>
      </w:r>
      <w:r>
        <w:rPr>
          <w:rFonts w:hint="eastAsia" w:ascii="仿宋_GB2312" w:hAnsi="仿宋_GB2312" w:eastAsia="仿宋_GB2312" w:cs="仿宋_GB2312"/>
          <w:color w:val="auto"/>
          <w:kern w:val="0"/>
          <w:sz w:val="32"/>
          <w:szCs w:val="32"/>
        </w:rPr>
        <w:t>%。决算数与年初预算数的差异原因：下半年养老保险缴费基数变化；新增人员养老保险完成变更。</w:t>
      </w:r>
    </w:p>
    <w:p w14:paraId="6601F8A4">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4</w:t>
      </w:r>
      <w:r>
        <w:rPr>
          <w:rFonts w:hint="eastAsia" w:eastAsia="仿宋_GB2312"/>
          <w:b/>
          <w:color w:val="auto"/>
          <w:kern w:val="0"/>
          <w:sz w:val="32"/>
          <w:szCs w:val="32"/>
        </w:rPr>
        <w:t>. 行政事业单位养老支出（款）机关事业单位职业年金缴费支出（项）。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color="000000"/>
        </w:rPr>
        <w:t>206</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46</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color="000000"/>
        </w:rPr>
        <w:t>230</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03</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u w:val="single" w:color="000000"/>
        </w:rPr>
        <w:t>111</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42</w:t>
      </w:r>
      <w:r>
        <w:rPr>
          <w:rFonts w:hint="eastAsia" w:ascii="仿宋_GB2312" w:hAnsi="仿宋_GB2312" w:eastAsia="仿宋_GB2312" w:cs="仿宋_GB2312"/>
          <w:color w:val="auto"/>
          <w:kern w:val="0"/>
          <w:sz w:val="32"/>
          <w:szCs w:val="32"/>
        </w:rPr>
        <w:t>%。决算数与年初预算数的差异原因：下半年职业年金缴费基数变化；新增人员职业年金完成变更。</w:t>
      </w:r>
    </w:p>
    <w:p w14:paraId="70D6CCC3">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5</w:t>
      </w:r>
      <w:r>
        <w:rPr>
          <w:rFonts w:hint="eastAsia" w:eastAsia="仿宋_GB2312"/>
          <w:b/>
          <w:color w:val="auto"/>
          <w:kern w:val="0"/>
          <w:sz w:val="32"/>
          <w:szCs w:val="32"/>
        </w:rPr>
        <w:t>. 抚恤（款）死亡抚恤（项）。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rPr>
        <w:t>119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02</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rPr>
        <w:t>0</w:t>
      </w:r>
      <w:r>
        <w:rPr>
          <w:rFonts w:hint="eastAsia" w:ascii="仿宋_GB2312" w:hAnsi="仿宋_GB2312" w:eastAsia="仿宋_GB2312" w:cs="仿宋_GB2312"/>
          <w:color w:val="auto"/>
          <w:kern w:val="0"/>
          <w:sz w:val="32"/>
          <w:szCs w:val="32"/>
        </w:rPr>
        <w:t>%。决算数与年初预算数的差异原因：按当年度去世人员追加抚恤经费。</w:t>
      </w:r>
    </w:p>
    <w:p w14:paraId="1B48D39E">
      <w:pPr>
        <w:pStyle w:val="23"/>
        <w:widowControl/>
        <w:spacing w:line="600" w:lineRule="exact"/>
        <w:ind w:firstLine="640" w:firstLineChars="200"/>
        <w:rPr>
          <w:rFonts w:hint="eastAsia" w:ascii="楷体_GB2312" w:eastAsia="楷体_GB2312"/>
          <w:color w:val="auto"/>
          <w:kern w:val="0"/>
          <w:sz w:val="24"/>
        </w:rPr>
      </w:pPr>
      <w:r>
        <w:rPr>
          <w:rFonts w:hint="eastAsia" w:ascii="楷体_GB2312" w:hAnsi="楷体" w:eastAsia="楷体_GB2312" w:cs="楷体"/>
          <w:bCs/>
          <w:color w:val="auto"/>
          <w:kern w:val="0"/>
          <w:sz w:val="32"/>
          <w:szCs w:val="32"/>
        </w:rPr>
        <w:t>（四）卫生健康支出（类）</w:t>
      </w:r>
    </w:p>
    <w:p w14:paraId="2E5DC698">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卫生健康支出（类）决算数为</w:t>
      </w:r>
      <w:r>
        <w:rPr>
          <w:rFonts w:eastAsia="仿宋_GB2312"/>
          <w:color w:val="auto"/>
          <w:kern w:val="0"/>
          <w:sz w:val="32"/>
          <w:szCs w:val="32"/>
          <w:u w:val="single"/>
        </w:rPr>
        <w:t>371</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46</w:t>
      </w:r>
      <w:r>
        <w:rPr>
          <w:rFonts w:hint="eastAsia" w:ascii="仿宋_GB2312" w:hAnsi="仿宋_GB2312" w:eastAsia="仿宋_GB2312" w:cs="仿宋_GB2312"/>
          <w:color w:val="auto"/>
          <w:kern w:val="0"/>
          <w:sz w:val="32"/>
          <w:szCs w:val="32"/>
        </w:rPr>
        <w:t>万元，与年初预算相比增加</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18</w:t>
      </w:r>
      <w:r>
        <w:rPr>
          <w:rFonts w:hint="eastAsia" w:ascii="仿宋_GB2312" w:hAnsi="仿宋_GB2312" w:eastAsia="仿宋_GB2312" w:cs="仿宋_GB2312"/>
          <w:color w:val="auto"/>
          <w:kern w:val="0"/>
          <w:sz w:val="32"/>
          <w:szCs w:val="32"/>
        </w:rPr>
        <w:t>万元。其中：</w:t>
      </w:r>
    </w:p>
    <w:p w14:paraId="3AC1C8E1">
      <w:pPr>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eastAsia="仿宋_GB2312"/>
          <w:b/>
          <w:color w:val="auto"/>
          <w:kern w:val="0"/>
          <w:sz w:val="32"/>
          <w:szCs w:val="32"/>
        </w:rPr>
        <w:t>. 行政事业单位医疗（款）行政单位医疗（项）。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color="000000"/>
        </w:rPr>
        <w:t>19</w:t>
      </w:r>
      <w:r>
        <w:rPr>
          <w:rFonts w:eastAsia="仿宋_GB2312"/>
          <w:color w:val="auto"/>
          <w:spacing w:val="-4"/>
          <w:kern w:val="0"/>
          <w:sz w:val="32"/>
          <w:szCs w:val="32"/>
          <w:u w:val="single" w:color="000000"/>
        </w:rPr>
        <w:t>3</w:t>
      </w:r>
      <w:r>
        <w:rPr>
          <w:rFonts w:hint="eastAsia" w:ascii="仿宋_GB2312" w:hAnsi="仿宋_GB2312" w:eastAsia="仿宋_GB2312" w:cs="仿宋_GB2312"/>
          <w:color w:val="auto"/>
          <w:spacing w:val="-4"/>
          <w:kern w:val="0"/>
          <w:sz w:val="32"/>
          <w:szCs w:val="32"/>
        </w:rPr>
        <w:t>万元，支出决算</w:t>
      </w:r>
      <w:r>
        <w:rPr>
          <w:rFonts w:eastAsia="仿宋_GB2312"/>
          <w:color w:val="auto"/>
          <w:spacing w:val="-4"/>
          <w:kern w:val="0"/>
          <w:sz w:val="32"/>
          <w:szCs w:val="32"/>
          <w:u w:val="single" w:color="000000"/>
        </w:rPr>
        <w:t>203</w:t>
      </w:r>
      <w:r>
        <w:rPr>
          <w:rFonts w:hint="eastAsia" w:ascii="仿宋_GB2312" w:hAnsi="仿宋_GB2312" w:eastAsia="仿宋_GB2312" w:cs="仿宋_GB2312"/>
          <w:color w:val="auto"/>
          <w:spacing w:val="-4"/>
          <w:kern w:val="0"/>
          <w:sz w:val="32"/>
          <w:szCs w:val="32"/>
          <w:u w:val="single" w:color="000000"/>
        </w:rPr>
        <w:t>.</w:t>
      </w:r>
      <w:r>
        <w:rPr>
          <w:rFonts w:eastAsia="仿宋_GB2312"/>
          <w:color w:val="auto"/>
          <w:spacing w:val="-4"/>
          <w:kern w:val="0"/>
          <w:sz w:val="32"/>
          <w:szCs w:val="32"/>
          <w:u w:val="single" w:color="000000"/>
        </w:rPr>
        <w:t>18</w:t>
      </w:r>
      <w:r>
        <w:rPr>
          <w:rFonts w:hint="eastAsia" w:ascii="仿宋_GB2312" w:hAnsi="仿宋_GB2312" w:eastAsia="仿宋_GB2312" w:cs="仿宋_GB2312"/>
          <w:color w:val="auto"/>
          <w:spacing w:val="-4"/>
          <w:kern w:val="0"/>
          <w:sz w:val="32"/>
          <w:szCs w:val="32"/>
        </w:rPr>
        <w:t>万元，完成年初预算的</w:t>
      </w:r>
      <w:r>
        <w:rPr>
          <w:rFonts w:eastAsia="仿宋_GB2312"/>
          <w:color w:val="auto"/>
          <w:spacing w:val="-4"/>
          <w:kern w:val="0"/>
          <w:sz w:val="32"/>
          <w:szCs w:val="32"/>
          <w:u w:val="single" w:color="000000"/>
        </w:rPr>
        <w:t>105</w:t>
      </w:r>
      <w:r>
        <w:rPr>
          <w:rFonts w:hint="eastAsia" w:ascii="仿宋_GB2312" w:hAnsi="仿宋_GB2312" w:eastAsia="仿宋_GB2312" w:cs="仿宋_GB2312"/>
          <w:color w:val="auto"/>
          <w:spacing w:val="-4"/>
          <w:kern w:val="0"/>
          <w:sz w:val="32"/>
          <w:szCs w:val="32"/>
          <w:u w:val="single" w:color="000000"/>
        </w:rPr>
        <w:t>.</w:t>
      </w:r>
      <w:r>
        <w:rPr>
          <w:rFonts w:eastAsia="仿宋_GB2312"/>
          <w:color w:val="auto"/>
          <w:spacing w:val="-4"/>
          <w:kern w:val="0"/>
          <w:sz w:val="32"/>
          <w:szCs w:val="32"/>
          <w:u w:val="single" w:color="000000"/>
        </w:rPr>
        <w:t>27</w:t>
      </w:r>
      <w:r>
        <w:rPr>
          <w:rFonts w:hint="eastAsia" w:ascii="仿宋_GB2312" w:hAnsi="仿宋_GB2312" w:eastAsia="仿宋_GB2312" w:cs="仿宋_GB2312"/>
          <w:color w:val="auto"/>
          <w:spacing w:val="-4"/>
          <w:kern w:val="0"/>
          <w:sz w:val="32"/>
          <w:szCs w:val="32"/>
        </w:rPr>
        <w:t>%。决算数与年初预算数的差异原因：下半年行政单位医疗缴费基数变化；新增、退休人员行政单位医疗完成变更。</w:t>
      </w:r>
    </w:p>
    <w:p w14:paraId="3EE587E1">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eastAsia="仿宋_GB2312"/>
          <w:b/>
          <w:color w:val="auto"/>
          <w:kern w:val="0"/>
          <w:sz w:val="32"/>
          <w:szCs w:val="32"/>
        </w:rPr>
        <w:t>. 行政事业单位医疗（款）公务员医疗补助（项）。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color="000000"/>
        </w:rPr>
        <w:t>168</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29</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color="000000"/>
        </w:rPr>
        <w:t>168</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29</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u w:val="single" w:color="000000"/>
        </w:rPr>
        <w:t>100</w:t>
      </w:r>
      <w:r>
        <w:rPr>
          <w:rFonts w:hint="eastAsia" w:ascii="仿宋_GB2312" w:hAnsi="仿宋_GB2312" w:eastAsia="仿宋_GB2312" w:cs="仿宋_GB2312"/>
          <w:color w:val="auto"/>
          <w:kern w:val="0"/>
          <w:sz w:val="32"/>
          <w:szCs w:val="32"/>
        </w:rPr>
        <w:t>%。决算数与年初预算数的差异原因：下半年公务员医疗补助缴费基数变化；新增、退休人员行政单位医疗完成变更。</w:t>
      </w:r>
    </w:p>
    <w:p w14:paraId="60675E5B">
      <w:pPr>
        <w:pStyle w:val="23"/>
        <w:widowControl/>
        <w:spacing w:line="600" w:lineRule="exact"/>
        <w:ind w:firstLine="640" w:firstLineChars="200"/>
        <w:rPr>
          <w:rFonts w:ascii="楷体_GB2312" w:hAnsi="楷体" w:eastAsia="楷体_GB2312" w:cs="楷体"/>
          <w:bCs/>
          <w:color w:val="auto"/>
          <w:kern w:val="0"/>
          <w:sz w:val="32"/>
          <w:szCs w:val="32"/>
        </w:rPr>
      </w:pPr>
      <w:r>
        <w:rPr>
          <w:rFonts w:ascii="楷体_GB2312" w:hAnsi="楷体" w:eastAsia="楷体_GB2312" w:cs="楷体"/>
          <w:bCs/>
          <w:color w:val="auto"/>
          <w:kern w:val="0"/>
          <w:sz w:val="32"/>
          <w:szCs w:val="32"/>
        </w:rPr>
        <w:t>（五）住房保障支出（类）</w:t>
      </w:r>
    </w:p>
    <w:p w14:paraId="55A70D5E">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住房保障支出（类）决算数为</w:t>
      </w:r>
      <w:r>
        <w:rPr>
          <w:rFonts w:eastAsia="仿宋_GB2312"/>
          <w:color w:val="auto"/>
          <w:kern w:val="0"/>
          <w:sz w:val="32"/>
          <w:szCs w:val="32"/>
          <w:u w:val="single"/>
        </w:rPr>
        <w:t>505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20</w:t>
      </w:r>
      <w:r>
        <w:rPr>
          <w:rFonts w:hint="eastAsia" w:ascii="仿宋_GB2312" w:hAnsi="仿宋_GB2312" w:eastAsia="仿宋_GB2312" w:cs="仿宋_GB2312"/>
          <w:color w:val="auto"/>
          <w:kern w:val="0"/>
          <w:sz w:val="32"/>
          <w:szCs w:val="32"/>
        </w:rPr>
        <w:t>万元，与年初预算相比减少</w:t>
      </w:r>
      <w:r>
        <w:rPr>
          <w:rFonts w:eastAsia="仿宋_GB2312"/>
          <w:color w:val="auto"/>
          <w:kern w:val="0"/>
          <w:sz w:val="32"/>
          <w:szCs w:val="32"/>
          <w:u w:val="single"/>
        </w:rPr>
        <w:t>37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58</w:t>
      </w:r>
      <w:r>
        <w:rPr>
          <w:rFonts w:hint="eastAsia" w:ascii="仿宋_GB2312" w:hAnsi="仿宋_GB2312" w:eastAsia="仿宋_GB2312" w:cs="仿宋_GB2312"/>
          <w:color w:val="auto"/>
          <w:kern w:val="0"/>
          <w:sz w:val="32"/>
          <w:szCs w:val="32"/>
        </w:rPr>
        <w:t>万元。其中：</w:t>
      </w:r>
    </w:p>
    <w:p w14:paraId="7B207730">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eastAsia="仿宋_GB2312"/>
          <w:b/>
          <w:color w:val="auto"/>
          <w:kern w:val="0"/>
          <w:sz w:val="32"/>
          <w:szCs w:val="32"/>
        </w:rPr>
        <w:t>. 住房改革支出（款）住房公积金（项）。</w:t>
      </w:r>
      <w:r>
        <w:rPr>
          <w:rFonts w:hint="eastAsia" w:ascii="仿宋_GB2312" w:hAnsi="仿宋_GB2312" w:eastAsia="仿宋_GB2312" w:cs="仿宋_GB2312"/>
          <w:color w:val="auto"/>
          <w:kern w:val="0"/>
          <w:sz w:val="32"/>
          <w:szCs w:val="32"/>
        </w:rPr>
        <w:t>年初预算</w:t>
      </w:r>
      <w:r>
        <w:rPr>
          <w:rFonts w:eastAsia="仿宋_GB2312"/>
          <w:color w:val="auto"/>
          <w:kern w:val="0"/>
          <w:sz w:val="32"/>
          <w:szCs w:val="32"/>
          <w:u w:val="single" w:color="000000"/>
        </w:rPr>
        <w:t>542</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78</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color="000000"/>
        </w:rPr>
        <w:t>505</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2</w:t>
      </w:r>
      <w:r>
        <w:rPr>
          <w:rFonts w:hint="eastAsia" w:ascii="仿宋_GB2312" w:hAnsi="仿宋_GB2312" w:eastAsia="仿宋_GB2312" w:cs="仿宋_GB2312"/>
          <w:color w:val="auto"/>
          <w:kern w:val="0"/>
          <w:sz w:val="32"/>
          <w:szCs w:val="32"/>
        </w:rPr>
        <w:t>万元，完成年初预算的</w:t>
      </w:r>
      <w:r>
        <w:rPr>
          <w:rFonts w:eastAsia="仿宋_GB2312"/>
          <w:color w:val="auto"/>
          <w:kern w:val="0"/>
          <w:sz w:val="32"/>
          <w:szCs w:val="32"/>
          <w:u w:val="single" w:color="000000"/>
        </w:rPr>
        <w:t>93</w:t>
      </w:r>
      <w:r>
        <w:rPr>
          <w:rFonts w:hint="eastAsia" w:ascii="仿宋_GB2312" w:hAnsi="仿宋_GB2312" w:eastAsia="仿宋_GB2312" w:cs="仿宋_GB2312"/>
          <w:color w:val="auto"/>
          <w:kern w:val="0"/>
          <w:sz w:val="32"/>
          <w:szCs w:val="32"/>
          <w:u w:val="single" w:color="000000"/>
        </w:rPr>
        <w:t>.</w:t>
      </w:r>
      <w:r>
        <w:rPr>
          <w:rFonts w:eastAsia="仿宋_GB2312"/>
          <w:color w:val="auto"/>
          <w:kern w:val="0"/>
          <w:sz w:val="32"/>
          <w:szCs w:val="32"/>
          <w:u w:val="single" w:color="000000"/>
        </w:rPr>
        <w:t>08</w:t>
      </w:r>
      <w:r>
        <w:rPr>
          <w:rFonts w:hint="eastAsia" w:ascii="仿宋_GB2312" w:hAnsi="仿宋_GB2312" w:eastAsia="仿宋_GB2312" w:cs="仿宋_GB2312"/>
          <w:color w:val="auto"/>
          <w:kern w:val="0"/>
          <w:sz w:val="32"/>
          <w:szCs w:val="32"/>
        </w:rPr>
        <w:t>%。决算数与年初预算数的差异原因：下半年住房公积金缴费基数变化；人员增减变动导致公积金变化等。</w:t>
      </w:r>
    </w:p>
    <w:p w14:paraId="4C318021">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六、一般公共预算财政拨款基本支出决算情况说明</w:t>
      </w:r>
    </w:p>
    <w:p w14:paraId="499BF781">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年度一般公共预算财政拨款基本支出决算</w:t>
      </w:r>
      <w:r>
        <w:rPr>
          <w:rFonts w:eastAsia="仿宋_GB2312"/>
          <w:color w:val="auto"/>
          <w:kern w:val="0"/>
          <w:sz w:val="32"/>
          <w:szCs w:val="32"/>
          <w:u w:val="single"/>
        </w:rPr>
        <w:t>8112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70</w:t>
      </w:r>
      <w:r>
        <w:rPr>
          <w:rFonts w:hint="eastAsia" w:ascii="仿宋_GB2312" w:hAnsi="仿宋_GB2312" w:eastAsia="仿宋_GB2312" w:cs="仿宋_GB2312"/>
          <w:color w:val="auto"/>
          <w:kern w:val="0"/>
          <w:sz w:val="32"/>
          <w:szCs w:val="32"/>
        </w:rPr>
        <w:t>万元，其中：</w:t>
      </w:r>
    </w:p>
    <w:p w14:paraId="6484B90F">
      <w:pPr>
        <w:pStyle w:val="23"/>
        <w:widowControl/>
        <w:spacing w:line="600" w:lineRule="exact"/>
        <w:ind w:firstLine="643" w:firstLineChars="200"/>
        <w:rPr>
          <w:rFonts w:eastAsia="Times New Roman"/>
          <w:color w:val="auto"/>
          <w:kern w:val="0"/>
          <w:sz w:val="24"/>
        </w:rPr>
      </w:pPr>
      <w:r>
        <w:rPr>
          <w:rFonts w:eastAsia="仿宋_GB2312"/>
          <w:b/>
          <w:bCs/>
          <w:color w:val="auto"/>
          <w:kern w:val="0"/>
          <w:sz w:val="32"/>
          <w:szCs w:val="32"/>
        </w:rPr>
        <w:t>（一）人员经费</w:t>
      </w:r>
      <w:r>
        <w:rPr>
          <w:rFonts w:eastAsia="仿宋_GB2312"/>
          <w:b/>
          <w:color w:val="auto"/>
          <w:kern w:val="0"/>
          <w:sz w:val="32"/>
          <w:szCs w:val="32"/>
          <w:u w:val="single"/>
        </w:rPr>
        <w:t>7084.24</w:t>
      </w:r>
      <w:r>
        <w:rPr>
          <w:rFonts w:eastAsia="仿宋_GB2312"/>
          <w:b/>
          <w:bCs/>
          <w:color w:val="auto"/>
          <w:kern w:val="0"/>
          <w:sz w:val="32"/>
          <w:szCs w:val="32"/>
        </w:rPr>
        <w:t>万元。</w:t>
      </w:r>
      <w:r>
        <w:rPr>
          <w:rFonts w:hint="eastAsia" w:ascii="仿宋_GB2312" w:hAnsi="仿宋_GB2312" w:eastAsia="仿宋_GB2312" w:cs="仿宋_GB2312"/>
          <w:color w:val="auto"/>
          <w:kern w:val="0"/>
          <w:sz w:val="32"/>
          <w:szCs w:val="32"/>
        </w:rPr>
        <w:t>主要包括：基本工资、津贴补贴、奖金、机关事业单位基本养老保险缴费、职业年金缴费、职工基本医疗保险缴费、公务员医疗补助缴费、其他社会保障缴费、住房公积金、其他工资福利支出、离休费、退休费、抚恤金、生活补助等。</w:t>
      </w:r>
    </w:p>
    <w:p w14:paraId="1FA72F07">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bCs/>
          <w:color w:val="auto"/>
          <w:kern w:val="0"/>
          <w:sz w:val="32"/>
          <w:szCs w:val="32"/>
        </w:rPr>
        <w:t>（二）公用经费</w:t>
      </w:r>
      <w:r>
        <w:rPr>
          <w:rFonts w:eastAsia="仿宋_GB2312"/>
          <w:b/>
          <w:bCs/>
          <w:color w:val="auto"/>
          <w:kern w:val="0"/>
          <w:sz w:val="32"/>
          <w:szCs w:val="32"/>
          <w:u w:val="single"/>
        </w:rPr>
        <w:t>1028.47</w:t>
      </w:r>
      <w:r>
        <w:rPr>
          <w:rFonts w:eastAsia="仿宋_GB2312"/>
          <w:b/>
          <w:bCs/>
          <w:color w:val="auto"/>
          <w:kern w:val="0"/>
          <w:sz w:val="32"/>
          <w:szCs w:val="32"/>
        </w:rPr>
        <w:t>万元。</w:t>
      </w:r>
      <w:r>
        <w:rPr>
          <w:rFonts w:hint="eastAsia" w:ascii="仿宋_GB2312" w:hAnsi="仿宋_GB2312" w:eastAsia="仿宋_GB2312" w:cs="仿宋_GB2312"/>
          <w:color w:val="auto"/>
          <w:kern w:val="0"/>
          <w:sz w:val="32"/>
          <w:szCs w:val="32"/>
        </w:rPr>
        <w:t>主要包括：办公费、邮电费、取暖费、培训费、公务接待费、委托业务费、工会经费、福利费、其他交通费用、其他商品和服务支出等。</w:t>
      </w:r>
    </w:p>
    <w:p w14:paraId="041F0BE0">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七、一般公共预算财政拨款项目支出决算情况说明</w:t>
      </w:r>
    </w:p>
    <w:p w14:paraId="5952D4AA">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年度一般公共预算财政拨款项目支出决算</w:t>
      </w:r>
      <w:r>
        <w:rPr>
          <w:rFonts w:eastAsia="仿宋_GB2312"/>
          <w:color w:val="auto"/>
          <w:kern w:val="0"/>
          <w:sz w:val="32"/>
          <w:szCs w:val="32"/>
          <w:u w:val="single"/>
        </w:rPr>
        <w:t>4122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90</w:t>
      </w:r>
      <w:r>
        <w:rPr>
          <w:rFonts w:hint="eastAsia" w:ascii="仿宋_GB2312" w:hAnsi="仿宋_GB2312" w:eastAsia="仿宋_GB2312" w:cs="仿宋_GB2312"/>
          <w:color w:val="auto"/>
          <w:kern w:val="0"/>
          <w:sz w:val="32"/>
          <w:szCs w:val="32"/>
        </w:rPr>
        <w:t>万元，其中：</w:t>
      </w:r>
    </w:p>
    <w:p w14:paraId="4A3C93C1">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bCs/>
          <w:color w:val="auto"/>
          <w:kern w:val="0"/>
          <w:sz w:val="32"/>
          <w:szCs w:val="32"/>
        </w:rPr>
        <w:t>（一）商品和服务支出</w:t>
      </w:r>
      <w:r>
        <w:rPr>
          <w:rFonts w:eastAsia="仿宋_GB2312"/>
          <w:b/>
          <w:color w:val="auto"/>
          <w:kern w:val="0"/>
          <w:sz w:val="32"/>
          <w:szCs w:val="32"/>
          <w:u w:val="single"/>
        </w:rPr>
        <w:t>3606.73</w:t>
      </w:r>
      <w:r>
        <w:rPr>
          <w:rFonts w:eastAsia="仿宋_GB2312"/>
          <w:b/>
          <w:bCs/>
          <w:color w:val="auto"/>
          <w:kern w:val="0"/>
          <w:sz w:val="32"/>
          <w:szCs w:val="32"/>
        </w:rPr>
        <w:t>万元。</w:t>
      </w:r>
      <w:r>
        <w:rPr>
          <w:rFonts w:hint="eastAsia" w:ascii="仿宋_GB2312" w:hAnsi="仿宋_GB2312" w:eastAsia="仿宋_GB2312" w:cs="仿宋_GB2312"/>
          <w:color w:val="auto"/>
          <w:kern w:val="0"/>
          <w:sz w:val="32"/>
          <w:szCs w:val="32"/>
        </w:rPr>
        <w:t>主要包括：办公费、印刷费、邮电费、差旅费、因公出国（境）费用、维修（护）费、租赁费、会议费、培训费、公务接待费、被装购置费、劳务费、委托业务费、公务用车运行维护费等。</w:t>
      </w:r>
    </w:p>
    <w:p w14:paraId="4DDD0C01">
      <w:pPr>
        <w:pStyle w:val="23"/>
        <w:widowControl/>
        <w:spacing w:line="600" w:lineRule="exact"/>
        <w:ind w:firstLine="643" w:firstLineChars="200"/>
        <w:rPr>
          <w:rFonts w:eastAsia="Times New Roman"/>
          <w:color w:val="auto"/>
          <w:kern w:val="0"/>
          <w:sz w:val="32"/>
          <w:szCs w:val="32"/>
        </w:rPr>
      </w:pPr>
      <w:r>
        <w:rPr>
          <w:rFonts w:ascii="仿宋" w:hAnsi="仿宋" w:eastAsia="仿宋" w:cs="仿宋"/>
          <w:b/>
          <w:bCs/>
          <w:color w:val="auto"/>
          <w:kern w:val="0"/>
          <w:sz w:val="32"/>
          <w:szCs w:val="32"/>
        </w:rPr>
        <w:t>（二）</w:t>
      </w:r>
      <w:r>
        <w:rPr>
          <w:rFonts w:hint="eastAsia" w:ascii="仿宋_GB2312" w:hAnsi="仿宋_GB2312" w:eastAsia="仿宋_GB2312" w:cs="仿宋_GB2312"/>
          <w:b/>
          <w:bCs/>
          <w:color w:val="auto"/>
          <w:kern w:val="0"/>
          <w:sz w:val="32"/>
          <w:szCs w:val="32"/>
        </w:rPr>
        <w:t>对个人和家庭的补助</w:t>
      </w:r>
      <w:r>
        <w:rPr>
          <w:rFonts w:eastAsia="仿宋_GB2312"/>
          <w:b/>
          <w:bCs/>
          <w:color w:val="auto"/>
          <w:kern w:val="0"/>
          <w:sz w:val="32"/>
          <w:szCs w:val="32"/>
          <w:u w:val="single"/>
        </w:rPr>
        <w:t>60</w:t>
      </w:r>
      <w:r>
        <w:rPr>
          <w:rFonts w:hint="eastAsia" w:ascii="仿宋_GB2312" w:hAnsi="仿宋_GB2312" w:eastAsia="仿宋_GB2312" w:cs="仿宋_GB2312"/>
          <w:b/>
          <w:bCs/>
          <w:color w:val="auto"/>
          <w:kern w:val="0"/>
          <w:sz w:val="32"/>
          <w:szCs w:val="32"/>
        </w:rPr>
        <w:t>万元。</w:t>
      </w:r>
      <w:r>
        <w:rPr>
          <w:rFonts w:hint="eastAsia" w:ascii="仿宋_GB2312" w:hAnsi="仿宋_GB2312" w:eastAsia="仿宋_GB2312" w:cs="仿宋_GB2312"/>
          <w:color w:val="auto"/>
          <w:kern w:val="0"/>
          <w:sz w:val="32"/>
          <w:szCs w:val="32"/>
        </w:rPr>
        <w:t>主要包括：救济费、其他对个人和家庭的补助。项目支出开支人员经费主要是用于司法救助支出及草原英才费用支出。</w:t>
      </w:r>
    </w:p>
    <w:p w14:paraId="6509AB5E">
      <w:pPr>
        <w:pStyle w:val="23"/>
        <w:widowControl/>
        <w:spacing w:line="600" w:lineRule="exact"/>
        <w:ind w:firstLine="643" w:firstLineChars="200"/>
        <w:rPr>
          <w:rFonts w:ascii="仿宋_GB2312" w:hAnsi="仿宋_GB2312" w:eastAsia="仿宋_GB2312" w:cs="仿宋_GB2312"/>
          <w:color w:val="auto"/>
          <w:kern w:val="0"/>
          <w:sz w:val="32"/>
          <w:szCs w:val="32"/>
        </w:rPr>
      </w:pPr>
      <w:r>
        <w:rPr>
          <w:rFonts w:eastAsia="仿宋_GB2312"/>
          <w:b/>
          <w:bCs/>
          <w:color w:val="auto"/>
          <w:kern w:val="0"/>
          <w:sz w:val="32"/>
          <w:szCs w:val="32"/>
        </w:rPr>
        <w:t>（三）资本性支出</w:t>
      </w:r>
      <w:r>
        <w:rPr>
          <w:rFonts w:eastAsia="仿宋_GB2312"/>
          <w:b/>
          <w:color w:val="auto"/>
          <w:kern w:val="0"/>
          <w:sz w:val="32"/>
          <w:szCs w:val="32"/>
          <w:u w:val="single"/>
        </w:rPr>
        <w:t>422.19</w:t>
      </w:r>
      <w:r>
        <w:rPr>
          <w:rFonts w:eastAsia="仿宋_GB2312"/>
          <w:b/>
          <w:bCs/>
          <w:color w:val="auto"/>
          <w:kern w:val="0"/>
          <w:sz w:val="32"/>
          <w:szCs w:val="32"/>
        </w:rPr>
        <w:t>万元。</w:t>
      </w:r>
      <w:r>
        <w:rPr>
          <w:rFonts w:hint="eastAsia" w:ascii="仿宋_GB2312" w:hAnsi="仿宋_GB2312" w:eastAsia="仿宋_GB2312" w:cs="仿宋_GB2312"/>
          <w:color w:val="auto"/>
          <w:kern w:val="0"/>
          <w:sz w:val="32"/>
          <w:szCs w:val="32"/>
        </w:rPr>
        <w:t>主要包括：办公设备购置、专用设备购置等。</w:t>
      </w:r>
    </w:p>
    <w:p w14:paraId="51A59F0A">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八、财政拨款</w:t>
      </w:r>
      <w:r>
        <w:rPr>
          <w:rFonts w:ascii="黑体" w:hAnsi="黑体" w:eastAsia="黑体"/>
          <w:bCs/>
          <w:color w:val="auto"/>
          <w:kern w:val="0"/>
          <w:sz w:val="32"/>
          <w:szCs w:val="32"/>
        </w:rPr>
        <w:t>“</w:t>
      </w:r>
      <w:r>
        <w:rPr>
          <w:rFonts w:ascii="黑体" w:hAnsi="黑体" w:eastAsia="黑体" w:cs="黑体"/>
          <w:bCs/>
          <w:color w:val="auto"/>
          <w:kern w:val="0"/>
          <w:sz w:val="32"/>
          <w:szCs w:val="32"/>
        </w:rPr>
        <w:t>三公</w:t>
      </w:r>
      <w:r>
        <w:rPr>
          <w:rFonts w:ascii="黑体" w:hAnsi="黑体" w:eastAsia="黑体"/>
          <w:bCs/>
          <w:color w:val="auto"/>
          <w:kern w:val="0"/>
          <w:sz w:val="32"/>
          <w:szCs w:val="32"/>
        </w:rPr>
        <w:t>”</w:t>
      </w:r>
      <w:r>
        <w:rPr>
          <w:rFonts w:ascii="黑体" w:hAnsi="黑体" w:eastAsia="黑体" w:cs="黑体"/>
          <w:bCs/>
          <w:color w:val="auto"/>
          <w:kern w:val="0"/>
          <w:sz w:val="32"/>
          <w:szCs w:val="32"/>
        </w:rPr>
        <w:t>经费支出决算情况说明</w:t>
      </w:r>
    </w:p>
    <w:p w14:paraId="1B445313">
      <w:pPr>
        <w:pStyle w:val="23"/>
        <w:widowControl/>
        <w:spacing w:line="600" w:lineRule="exact"/>
        <w:ind w:firstLine="640" w:firstLineChars="200"/>
        <w:rPr>
          <w:rFonts w:hint="eastAsia" w:ascii="楷体_GB2312" w:eastAsia="楷体_GB2312"/>
          <w:color w:val="auto"/>
          <w:kern w:val="0"/>
          <w:sz w:val="24"/>
        </w:rPr>
      </w:pPr>
      <w:r>
        <w:rPr>
          <w:rFonts w:hint="eastAsia" w:ascii="楷体_GB2312" w:hAnsi="楷体" w:eastAsia="楷体_GB2312" w:cs="楷体"/>
          <w:bCs/>
          <w:color w:val="auto"/>
          <w:kern w:val="0"/>
          <w:sz w:val="32"/>
          <w:szCs w:val="32"/>
        </w:rPr>
        <w:t>（一）财政拨款</w:t>
      </w:r>
      <w:r>
        <w:rPr>
          <w:rFonts w:hint="eastAsia" w:ascii="楷体_GB2312" w:eastAsia="楷体_GB2312"/>
          <w:bCs/>
          <w:color w:val="auto"/>
          <w:kern w:val="0"/>
          <w:sz w:val="32"/>
          <w:szCs w:val="32"/>
        </w:rPr>
        <w:t>“</w:t>
      </w:r>
      <w:r>
        <w:rPr>
          <w:rFonts w:hint="eastAsia" w:ascii="楷体_GB2312" w:hAnsi="楷体" w:eastAsia="楷体_GB2312" w:cs="楷体"/>
          <w:bCs/>
          <w:color w:val="auto"/>
          <w:kern w:val="0"/>
          <w:sz w:val="32"/>
          <w:szCs w:val="32"/>
        </w:rPr>
        <w:t>三公</w:t>
      </w:r>
      <w:r>
        <w:rPr>
          <w:rFonts w:hint="eastAsia" w:ascii="楷体_GB2312" w:eastAsia="楷体_GB2312"/>
          <w:bCs/>
          <w:color w:val="auto"/>
          <w:kern w:val="0"/>
          <w:sz w:val="32"/>
          <w:szCs w:val="32"/>
        </w:rPr>
        <w:t>”</w:t>
      </w:r>
      <w:r>
        <w:rPr>
          <w:rFonts w:hint="eastAsia" w:ascii="楷体_GB2312" w:hAnsi="楷体" w:eastAsia="楷体_GB2312" w:cs="楷体"/>
          <w:bCs/>
          <w:color w:val="auto"/>
          <w:kern w:val="0"/>
          <w:sz w:val="32"/>
          <w:szCs w:val="32"/>
        </w:rPr>
        <w:t>经费支出总体情况说明</w:t>
      </w:r>
    </w:p>
    <w:p w14:paraId="6CD0D821">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年度财政拨款“三公”经费全年预算</w:t>
      </w:r>
      <w:r>
        <w:rPr>
          <w:rFonts w:eastAsia="仿宋_GB2312"/>
          <w:color w:val="auto"/>
          <w:kern w:val="0"/>
          <w:sz w:val="32"/>
          <w:szCs w:val="32"/>
          <w:u w:val="single"/>
        </w:rPr>
        <w:t>106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rPr>
        <w:t>106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100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00</w:t>
      </w:r>
      <w:r>
        <w:rPr>
          <w:rFonts w:hint="eastAsia" w:ascii="仿宋_GB2312" w:hAnsi="仿宋_GB2312" w:eastAsia="仿宋_GB2312" w:cs="仿宋_GB2312"/>
          <w:color w:val="auto"/>
          <w:kern w:val="0"/>
          <w:sz w:val="32"/>
          <w:szCs w:val="32"/>
        </w:rPr>
        <w:t>%。其中：因公出国（境）费全年预算</w:t>
      </w:r>
      <w:r>
        <w:rPr>
          <w:rFonts w:eastAsia="仿宋_GB2312"/>
          <w:color w:val="auto"/>
          <w:kern w:val="0"/>
          <w:sz w:val="32"/>
          <w:szCs w:val="32"/>
          <w:u w:val="single"/>
        </w:rPr>
        <w:t>22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rPr>
        <w:t>22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100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00</w:t>
      </w:r>
      <w:r>
        <w:rPr>
          <w:rFonts w:hint="eastAsia" w:ascii="仿宋_GB2312" w:hAnsi="仿宋_GB2312" w:eastAsia="仿宋_GB2312" w:cs="仿宋_GB2312"/>
          <w:color w:val="auto"/>
          <w:kern w:val="0"/>
          <w:sz w:val="32"/>
          <w:szCs w:val="32"/>
        </w:rPr>
        <w:t>%；公务用车购置及运行维护费全年预算</w:t>
      </w:r>
      <w:r>
        <w:rPr>
          <w:rFonts w:eastAsia="仿宋_GB2312"/>
          <w:color w:val="auto"/>
          <w:kern w:val="0"/>
          <w:sz w:val="32"/>
          <w:szCs w:val="32"/>
          <w:u w:val="single"/>
        </w:rPr>
        <w:t>64</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66</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rPr>
        <w:t>64</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66</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100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00</w:t>
      </w:r>
      <w:r>
        <w:rPr>
          <w:rFonts w:hint="eastAsia" w:ascii="仿宋_GB2312" w:hAnsi="仿宋_GB2312" w:eastAsia="仿宋_GB2312" w:cs="仿宋_GB2312"/>
          <w:color w:val="auto"/>
          <w:kern w:val="0"/>
          <w:sz w:val="32"/>
          <w:szCs w:val="32"/>
        </w:rPr>
        <w:t>%；公务接待费全年预算</w:t>
      </w:r>
      <w:r>
        <w:rPr>
          <w:rFonts w:eastAsia="仿宋_GB2312"/>
          <w:color w:val="auto"/>
          <w:kern w:val="0"/>
          <w:sz w:val="32"/>
          <w:szCs w:val="32"/>
          <w:u w:val="single"/>
        </w:rPr>
        <w:t>19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34</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rPr>
        <w:t>19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34</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100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年度一般公共预算财政拨款“三公”经费全年预算</w:t>
      </w:r>
      <w:r>
        <w:rPr>
          <w:rFonts w:eastAsia="仿宋_GB2312"/>
          <w:color w:val="auto"/>
          <w:kern w:val="0"/>
          <w:sz w:val="32"/>
          <w:szCs w:val="32"/>
          <w:u w:val="single"/>
        </w:rPr>
        <w:t>106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万元，支出决算</w:t>
      </w:r>
      <w:r>
        <w:rPr>
          <w:rFonts w:eastAsia="仿宋_GB2312"/>
          <w:color w:val="auto"/>
          <w:kern w:val="0"/>
          <w:sz w:val="32"/>
          <w:szCs w:val="32"/>
          <w:u w:val="single"/>
        </w:rPr>
        <w:t>106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万元，与预算差异原因：</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年临时增加蒙古国代表团访问接待任务，经财政批准，从因公出国（境）费用中调剂</w:t>
      </w:r>
      <w:r>
        <w:rPr>
          <w:rFonts w:eastAsia="仿宋_GB2312"/>
          <w:color w:val="auto"/>
          <w:kern w:val="0"/>
          <w:sz w:val="32"/>
          <w:szCs w:val="32"/>
        </w:rPr>
        <w:t>15</w:t>
      </w:r>
      <w:r>
        <w:rPr>
          <w:rFonts w:hint="eastAsia" w:ascii="仿宋_GB2312" w:hAnsi="仿宋_GB2312" w:eastAsia="仿宋_GB2312" w:cs="仿宋_GB2312"/>
          <w:color w:val="auto"/>
          <w:kern w:val="0"/>
          <w:sz w:val="32"/>
          <w:szCs w:val="32"/>
        </w:rPr>
        <w:t>万元至公务接待费支出。</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年度我院国内公务接待费</w:t>
      </w:r>
      <w:r>
        <w:rPr>
          <w:rFonts w:eastAsia="仿宋_GB2312"/>
          <w:color w:val="auto"/>
          <w:kern w:val="0"/>
          <w:sz w:val="32"/>
          <w:szCs w:val="32"/>
        </w:rPr>
        <w:t>18</w:t>
      </w:r>
      <w:r>
        <w:rPr>
          <w:rFonts w:hint="eastAsia" w:ascii="仿宋_GB2312" w:hAnsi="仿宋_GB2312" w:eastAsia="仿宋_GB2312" w:cs="仿宋_GB2312"/>
          <w:color w:val="auto"/>
          <w:kern w:val="0"/>
          <w:sz w:val="32"/>
          <w:szCs w:val="32"/>
        </w:rPr>
        <w:t>批次，其中外事接待</w:t>
      </w:r>
      <w:r>
        <w:rPr>
          <w:rFonts w:eastAsia="仿宋_GB2312"/>
          <w:color w:val="auto"/>
          <w:kern w:val="0"/>
          <w:sz w:val="32"/>
          <w:szCs w:val="32"/>
        </w:rPr>
        <w:t>2</w:t>
      </w:r>
      <w:r>
        <w:rPr>
          <w:rFonts w:hint="eastAsia" w:ascii="仿宋_GB2312" w:hAnsi="仿宋_GB2312" w:eastAsia="仿宋_GB2312" w:cs="仿宋_GB2312"/>
          <w:color w:val="auto"/>
          <w:kern w:val="0"/>
          <w:sz w:val="32"/>
          <w:szCs w:val="32"/>
        </w:rPr>
        <w:t>批次，共计接待</w:t>
      </w:r>
      <w:r>
        <w:rPr>
          <w:rFonts w:eastAsia="仿宋_GB2312"/>
          <w:color w:val="auto"/>
          <w:kern w:val="0"/>
          <w:sz w:val="32"/>
          <w:szCs w:val="32"/>
        </w:rPr>
        <w:t>81</w:t>
      </w:r>
      <w:r>
        <w:rPr>
          <w:rFonts w:hint="eastAsia" w:ascii="仿宋_GB2312" w:hAnsi="仿宋_GB2312" w:eastAsia="仿宋_GB2312" w:cs="仿宋_GB2312"/>
          <w:color w:val="auto"/>
          <w:kern w:val="0"/>
          <w:sz w:val="32"/>
          <w:szCs w:val="32"/>
        </w:rPr>
        <w:t>人，其中外事接待</w:t>
      </w:r>
      <w:r>
        <w:rPr>
          <w:rFonts w:eastAsia="仿宋_GB2312"/>
          <w:color w:val="auto"/>
          <w:kern w:val="0"/>
          <w:sz w:val="32"/>
          <w:szCs w:val="32"/>
        </w:rPr>
        <w:t>16</w:t>
      </w:r>
      <w:r>
        <w:rPr>
          <w:rFonts w:hint="eastAsia" w:ascii="仿宋_GB2312" w:hAnsi="仿宋_GB2312" w:eastAsia="仿宋_GB2312" w:cs="仿宋_GB2312"/>
          <w:color w:val="auto"/>
          <w:kern w:val="0"/>
          <w:sz w:val="32"/>
          <w:szCs w:val="32"/>
        </w:rPr>
        <w:t>人，故因公出国费用、公务接待费用与年初预算数有所差异。公务用车运行维护费全年预算与年初预算差额</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w:t>
      </w:r>
      <w:r>
        <w:rPr>
          <w:rFonts w:eastAsia="仿宋_GB2312"/>
          <w:color w:val="auto"/>
          <w:kern w:val="0"/>
          <w:sz w:val="32"/>
          <w:szCs w:val="32"/>
        </w:rPr>
        <w:t>4</w:t>
      </w:r>
      <w:r>
        <w:rPr>
          <w:rFonts w:hint="eastAsia" w:ascii="仿宋_GB2312" w:hAnsi="仿宋_GB2312" w:eastAsia="仿宋_GB2312" w:cs="仿宋_GB2312"/>
          <w:color w:val="auto"/>
          <w:kern w:val="0"/>
          <w:sz w:val="32"/>
          <w:szCs w:val="32"/>
        </w:rPr>
        <w:t>万元，主要是剩余部分车辆燃油及保险资金，年末已由财政收回。</w:t>
      </w:r>
    </w:p>
    <w:p w14:paraId="272F6CEB">
      <w:pPr>
        <w:pStyle w:val="23"/>
        <w:widowControl/>
        <w:spacing w:line="600" w:lineRule="exact"/>
        <w:ind w:firstLine="640" w:firstLineChars="200"/>
        <w:rPr>
          <w:rFonts w:ascii="楷体_GB2312" w:hAnsi="楷体" w:eastAsia="楷体_GB2312" w:cs="楷体"/>
          <w:bCs/>
          <w:color w:val="auto"/>
          <w:kern w:val="0"/>
          <w:sz w:val="32"/>
          <w:szCs w:val="32"/>
        </w:rPr>
      </w:pPr>
      <w:r>
        <w:rPr>
          <w:rFonts w:ascii="楷体_GB2312" w:hAnsi="楷体" w:eastAsia="楷体_GB2312" w:cs="楷体"/>
          <w:bCs/>
          <w:color w:val="auto"/>
          <w:kern w:val="0"/>
          <w:sz w:val="32"/>
          <w:szCs w:val="32"/>
        </w:rPr>
        <w:t>（二）财政拨款“三公”经费支出具体情况说明</w:t>
      </w:r>
    </w:p>
    <w:p w14:paraId="67DD5916">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年度财政拨款“三公”经费支出</w:t>
      </w:r>
      <w:r>
        <w:rPr>
          <w:rFonts w:eastAsia="仿宋_GB2312"/>
          <w:color w:val="auto"/>
          <w:kern w:val="0"/>
          <w:sz w:val="32"/>
          <w:szCs w:val="32"/>
          <w:u w:val="single"/>
        </w:rPr>
        <w:t>106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万元。因公出国（境）费支出</w:t>
      </w:r>
      <w:r>
        <w:rPr>
          <w:rFonts w:eastAsia="仿宋_GB2312"/>
          <w:color w:val="auto"/>
          <w:kern w:val="0"/>
          <w:sz w:val="32"/>
          <w:szCs w:val="32"/>
          <w:u w:val="single"/>
        </w:rPr>
        <w:t>22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21</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20</w:t>
      </w:r>
      <w:r>
        <w:rPr>
          <w:rFonts w:hint="eastAsia" w:ascii="仿宋_GB2312" w:hAnsi="仿宋_GB2312" w:eastAsia="仿宋_GB2312" w:cs="仿宋_GB2312"/>
          <w:color w:val="auto"/>
          <w:kern w:val="0"/>
          <w:sz w:val="32"/>
          <w:szCs w:val="32"/>
        </w:rPr>
        <w:t>%；公务用车购置及运行维护费支出</w:t>
      </w:r>
      <w:r>
        <w:rPr>
          <w:rFonts w:eastAsia="仿宋_GB2312"/>
          <w:color w:val="auto"/>
          <w:kern w:val="0"/>
          <w:sz w:val="32"/>
          <w:szCs w:val="32"/>
          <w:u w:val="single"/>
        </w:rPr>
        <w:t>64</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66</w:t>
      </w:r>
      <w:r>
        <w:rPr>
          <w:rFonts w:hint="eastAsia" w:ascii="仿宋_GB2312" w:hAnsi="仿宋_GB2312" w:eastAsia="仿宋_GB2312" w:cs="仿宋_GB2312"/>
          <w:color w:val="auto"/>
          <w:kern w:val="0"/>
          <w:sz w:val="32"/>
          <w:szCs w:val="32"/>
        </w:rPr>
        <w:t>万元，占</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66</w:t>
      </w:r>
      <w:r>
        <w:rPr>
          <w:rFonts w:hint="eastAsia" w:ascii="仿宋_GB2312" w:hAnsi="仿宋_GB2312" w:eastAsia="仿宋_GB2312" w:cs="仿宋_GB2312"/>
          <w:color w:val="auto"/>
          <w:kern w:val="0"/>
          <w:sz w:val="32"/>
          <w:szCs w:val="32"/>
        </w:rPr>
        <w:t>%；公务接待费支出</w:t>
      </w:r>
      <w:r>
        <w:rPr>
          <w:rFonts w:eastAsia="仿宋_GB2312"/>
          <w:color w:val="auto"/>
          <w:kern w:val="0"/>
          <w:sz w:val="32"/>
          <w:szCs w:val="32"/>
          <w:u w:val="single"/>
        </w:rPr>
        <w:t>19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34</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u w:val="single"/>
        </w:rPr>
        <w:t xml:space="preserve"> </w:t>
      </w:r>
      <w:r>
        <w:rPr>
          <w:rFonts w:eastAsia="仿宋_GB2312"/>
          <w:color w:val="auto"/>
          <w:kern w:val="0"/>
          <w:sz w:val="32"/>
          <w:szCs w:val="32"/>
          <w:u w:val="single"/>
        </w:rPr>
        <w:t>18</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14</w:t>
      </w:r>
      <w:r>
        <w:rPr>
          <w:rFonts w:hint="eastAsia" w:ascii="仿宋_GB2312" w:hAnsi="仿宋_GB2312" w:eastAsia="仿宋_GB2312" w:cs="仿宋_GB2312"/>
          <w:color w:val="auto"/>
          <w:kern w:val="0"/>
          <w:sz w:val="32"/>
          <w:szCs w:val="32"/>
        </w:rPr>
        <w:t>%。其中：</w:t>
      </w:r>
    </w:p>
    <w:p w14:paraId="014E5C9B">
      <w:pPr>
        <w:pStyle w:val="23"/>
        <w:widowControl/>
        <w:spacing w:line="600" w:lineRule="exact"/>
        <w:ind w:firstLine="640" w:firstLineChars="200"/>
        <w:rPr>
          <w:rFonts w:ascii="仿宋_GB2312" w:hAnsi="仿宋_GB2312" w:eastAsia="仿宋_GB2312" w:cs="仿宋_GB2312"/>
          <w:color w:val="auto"/>
          <w:kern w:val="0"/>
          <w:sz w:val="32"/>
          <w:szCs w:val="32"/>
        </w:rPr>
      </w:pPr>
      <w:r>
        <w:rPr>
          <w:rFonts w:eastAsia="Times New Roman"/>
          <w:b/>
          <w:bCs/>
          <w:color w:val="auto"/>
          <w:kern w:val="0"/>
          <w:sz w:val="32"/>
          <w:szCs w:val="32"/>
        </w:rPr>
        <w:t>1</w:t>
      </w:r>
      <w:r>
        <w:rPr>
          <w:rFonts w:ascii="仿宋" w:hAnsi="仿宋" w:eastAsia="仿宋" w:cs="仿宋"/>
          <w:b/>
          <w:bCs/>
          <w:color w:val="auto"/>
          <w:kern w:val="0"/>
          <w:sz w:val="32"/>
          <w:szCs w:val="32"/>
        </w:rPr>
        <w:t>.</w:t>
      </w:r>
      <w:r>
        <w:rPr>
          <w:rFonts w:hint="eastAsia" w:ascii="仿宋" w:hAnsi="仿宋" w:eastAsia="仿宋" w:cs="仿宋"/>
          <w:b/>
          <w:bCs/>
          <w:color w:val="auto"/>
          <w:kern w:val="0"/>
          <w:sz w:val="32"/>
          <w:szCs w:val="32"/>
        </w:rPr>
        <w:t xml:space="preserve"> </w:t>
      </w:r>
      <w:r>
        <w:rPr>
          <w:rFonts w:ascii="仿宋" w:hAnsi="仿宋" w:eastAsia="仿宋" w:cs="仿宋"/>
          <w:b/>
          <w:bCs/>
          <w:color w:val="auto"/>
          <w:kern w:val="0"/>
          <w:sz w:val="32"/>
          <w:szCs w:val="32"/>
        </w:rPr>
        <w:t>因公出国（境）费支出</w:t>
      </w:r>
      <w:r>
        <w:rPr>
          <w:rFonts w:eastAsia="Times New Roman"/>
          <w:color w:val="auto"/>
          <w:kern w:val="0"/>
          <w:sz w:val="32"/>
          <w:szCs w:val="32"/>
          <w:u w:val="single"/>
        </w:rPr>
        <w:t>22.60</w:t>
      </w:r>
      <w:r>
        <w:rPr>
          <w:rFonts w:hint="eastAsia" w:ascii="仿宋_GB2312" w:hAnsi="仿宋_GB2312" w:eastAsia="仿宋_GB2312" w:cs="仿宋_GB2312"/>
          <w:color w:val="auto"/>
          <w:kern w:val="0"/>
          <w:sz w:val="32"/>
          <w:szCs w:val="32"/>
        </w:rPr>
        <w:t>万元，全年出国（境）团组</w:t>
      </w:r>
      <w:r>
        <w:rPr>
          <w:rFonts w:eastAsia="仿宋_GB2312"/>
          <w:color w:val="auto"/>
          <w:kern w:val="0"/>
          <w:sz w:val="32"/>
          <w:szCs w:val="32"/>
          <w:u w:val="single"/>
        </w:rPr>
        <w:t>1</w:t>
      </w:r>
      <w:r>
        <w:rPr>
          <w:rFonts w:hint="eastAsia" w:ascii="仿宋_GB2312" w:hAnsi="仿宋_GB2312" w:eastAsia="仿宋_GB2312" w:cs="仿宋_GB2312"/>
          <w:color w:val="auto"/>
          <w:kern w:val="0"/>
          <w:sz w:val="32"/>
          <w:szCs w:val="32"/>
        </w:rPr>
        <w:t>个，累计</w:t>
      </w:r>
      <w:r>
        <w:rPr>
          <w:rFonts w:eastAsia="仿宋_GB2312"/>
          <w:color w:val="auto"/>
          <w:kern w:val="0"/>
          <w:sz w:val="32"/>
          <w:szCs w:val="32"/>
          <w:u w:val="single"/>
        </w:rPr>
        <w:t>6</w:t>
      </w:r>
      <w:r>
        <w:rPr>
          <w:rFonts w:hint="eastAsia" w:ascii="仿宋_GB2312" w:hAnsi="仿宋_GB2312" w:eastAsia="仿宋_GB2312" w:cs="仿宋_GB2312"/>
          <w:color w:val="auto"/>
          <w:kern w:val="0"/>
          <w:sz w:val="32"/>
          <w:szCs w:val="32"/>
        </w:rPr>
        <w:t>人次。与上年决算相比，减少</w:t>
      </w:r>
      <w:r>
        <w:rPr>
          <w:rFonts w:eastAsia="仿宋_GB2312"/>
          <w:color w:val="auto"/>
          <w:kern w:val="0"/>
          <w:sz w:val="32"/>
          <w:szCs w:val="32"/>
          <w:u w:val="single"/>
        </w:rPr>
        <w:t>1</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75</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20</w:t>
      </w:r>
      <w:r>
        <w:rPr>
          <w:rFonts w:hint="eastAsia" w:ascii="仿宋_GB2312" w:hAnsi="仿宋_GB2312" w:eastAsia="仿宋_GB2312" w:cs="仿宋_GB2312"/>
          <w:color w:val="auto"/>
          <w:kern w:val="0"/>
          <w:sz w:val="32"/>
          <w:szCs w:val="32"/>
        </w:rPr>
        <w:t>%，变动原因：本年度因公出国批次减少</w:t>
      </w:r>
      <w:r>
        <w:rPr>
          <w:rFonts w:eastAsia="仿宋_GB2312"/>
          <w:color w:val="auto"/>
          <w:kern w:val="0"/>
          <w:sz w:val="32"/>
          <w:szCs w:val="32"/>
        </w:rPr>
        <w:t>2</w:t>
      </w:r>
      <w:r>
        <w:rPr>
          <w:rFonts w:hint="eastAsia" w:ascii="仿宋_GB2312" w:hAnsi="仿宋_GB2312" w:eastAsia="仿宋_GB2312" w:cs="仿宋_GB2312"/>
          <w:color w:val="auto"/>
          <w:kern w:val="0"/>
          <w:sz w:val="32"/>
          <w:szCs w:val="32"/>
        </w:rPr>
        <w:t>批次、人数减少</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人。</w:t>
      </w:r>
    </w:p>
    <w:p w14:paraId="2C39B909">
      <w:pPr>
        <w:pStyle w:val="23"/>
        <w:widowControl/>
        <w:spacing w:line="600" w:lineRule="exact"/>
        <w:ind w:firstLine="640" w:firstLineChars="200"/>
        <w:rPr>
          <w:rFonts w:eastAsia="Times New Roman"/>
          <w:color w:val="auto"/>
          <w:kern w:val="0"/>
          <w:sz w:val="24"/>
        </w:rPr>
      </w:pPr>
      <w:r>
        <w:rPr>
          <w:rFonts w:eastAsia="Times New Roman"/>
          <w:b/>
          <w:bCs/>
          <w:color w:val="auto"/>
          <w:kern w:val="0"/>
          <w:sz w:val="32"/>
          <w:szCs w:val="32"/>
        </w:rPr>
        <w:t>2</w:t>
      </w:r>
      <w:r>
        <w:rPr>
          <w:rFonts w:ascii="仿宋" w:hAnsi="仿宋" w:eastAsia="仿宋" w:cs="仿宋"/>
          <w:b/>
          <w:bCs/>
          <w:color w:val="auto"/>
          <w:kern w:val="0"/>
          <w:sz w:val="32"/>
          <w:szCs w:val="32"/>
        </w:rPr>
        <w:t>.</w:t>
      </w:r>
      <w:r>
        <w:rPr>
          <w:rFonts w:hint="eastAsia" w:ascii="仿宋" w:hAnsi="仿宋" w:eastAsia="仿宋" w:cs="仿宋"/>
          <w:b/>
          <w:bCs/>
          <w:color w:val="auto"/>
          <w:kern w:val="0"/>
          <w:sz w:val="32"/>
          <w:szCs w:val="32"/>
        </w:rPr>
        <w:t xml:space="preserve"> </w:t>
      </w:r>
      <w:r>
        <w:rPr>
          <w:rFonts w:ascii="仿宋" w:hAnsi="仿宋" w:eastAsia="仿宋" w:cs="仿宋"/>
          <w:b/>
          <w:bCs/>
          <w:color w:val="auto"/>
          <w:kern w:val="0"/>
          <w:sz w:val="32"/>
          <w:szCs w:val="32"/>
        </w:rPr>
        <w:t>公务用车购置及运行维护费支出</w:t>
      </w:r>
      <w:r>
        <w:rPr>
          <w:rFonts w:eastAsia="Times New Roman"/>
          <w:color w:val="auto"/>
          <w:kern w:val="0"/>
          <w:sz w:val="32"/>
          <w:szCs w:val="32"/>
          <w:u w:val="single"/>
        </w:rPr>
        <w:t>64.66</w:t>
      </w:r>
      <w:r>
        <w:rPr>
          <w:rFonts w:hint="eastAsia" w:ascii="仿宋_GB2312" w:hAnsi="仿宋_GB2312" w:eastAsia="仿宋_GB2312" w:cs="仿宋_GB2312"/>
          <w:color w:val="auto"/>
          <w:kern w:val="0"/>
          <w:sz w:val="32"/>
          <w:szCs w:val="32"/>
        </w:rPr>
        <w:t>万元。其中</w:t>
      </w:r>
      <w:r>
        <w:rPr>
          <w:rFonts w:ascii="仿宋" w:hAnsi="仿宋" w:eastAsia="仿宋" w:cs="仿宋"/>
          <w:color w:val="auto"/>
          <w:kern w:val="0"/>
          <w:sz w:val="32"/>
          <w:szCs w:val="32"/>
        </w:rPr>
        <w:t>：</w:t>
      </w:r>
    </w:p>
    <w:p w14:paraId="429CE823">
      <w:pPr>
        <w:pStyle w:val="23"/>
        <w:widowControl/>
        <w:spacing w:line="600" w:lineRule="exact"/>
        <w:ind w:firstLine="643" w:firstLineChars="200"/>
        <w:rPr>
          <w:rFonts w:eastAsia="Times New Roman"/>
          <w:color w:val="auto"/>
          <w:kern w:val="0"/>
          <w:sz w:val="24"/>
        </w:rPr>
      </w:pPr>
      <w:r>
        <w:rPr>
          <w:rFonts w:ascii="仿宋" w:hAnsi="仿宋" w:eastAsia="仿宋" w:cs="仿宋"/>
          <w:b/>
          <w:bCs/>
          <w:color w:val="auto"/>
          <w:kern w:val="0"/>
          <w:sz w:val="32"/>
          <w:szCs w:val="32"/>
        </w:rPr>
        <w:t>（</w:t>
      </w:r>
      <w:r>
        <w:rPr>
          <w:rFonts w:eastAsia="Times New Roman"/>
          <w:b/>
          <w:bCs/>
          <w:color w:val="auto"/>
          <w:kern w:val="0"/>
          <w:sz w:val="32"/>
          <w:szCs w:val="32"/>
        </w:rPr>
        <w:t>1</w:t>
      </w:r>
      <w:r>
        <w:rPr>
          <w:rFonts w:ascii="仿宋" w:hAnsi="仿宋" w:eastAsia="仿宋" w:cs="仿宋"/>
          <w:b/>
          <w:bCs/>
          <w:color w:val="auto"/>
          <w:kern w:val="0"/>
          <w:sz w:val="32"/>
          <w:szCs w:val="32"/>
        </w:rPr>
        <w:t>）公务用车购置支出</w:t>
      </w:r>
      <w:r>
        <w:rPr>
          <w:rFonts w:eastAsia="Times New Roman"/>
          <w:color w:val="auto"/>
          <w:kern w:val="0"/>
          <w:sz w:val="32"/>
          <w:szCs w:val="32"/>
          <w:u w:val="single"/>
        </w:rPr>
        <w:t>0</w:t>
      </w:r>
      <w:r>
        <w:rPr>
          <w:rFonts w:hint="eastAsia" w:ascii="仿宋_GB2312" w:hAnsi="仿宋_GB2312" w:eastAsia="仿宋_GB2312" w:cs="仿宋_GB2312"/>
          <w:color w:val="auto"/>
          <w:kern w:val="0"/>
          <w:sz w:val="32"/>
          <w:szCs w:val="32"/>
        </w:rPr>
        <w:t>万元。本年度使用财政拨款购置公务用车</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辆，开支内容：无。与上年决算相比，增加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%，变动原因：不涉及此项内容。</w:t>
      </w:r>
    </w:p>
    <w:p w14:paraId="78624127">
      <w:pPr>
        <w:pStyle w:val="23"/>
        <w:widowControl/>
        <w:spacing w:line="600" w:lineRule="exact"/>
        <w:ind w:firstLine="643" w:firstLineChars="200"/>
        <w:rPr>
          <w:rFonts w:ascii="仿宋_GB2312" w:hAnsi="仿宋_GB2312" w:eastAsia="仿宋_GB2312" w:cs="仿宋_GB2312"/>
          <w:color w:val="auto"/>
          <w:kern w:val="0"/>
          <w:sz w:val="32"/>
          <w:szCs w:val="32"/>
        </w:rPr>
      </w:pPr>
      <w:r>
        <w:rPr>
          <w:rFonts w:ascii="仿宋" w:hAnsi="仿宋" w:eastAsia="仿宋" w:cs="仿宋"/>
          <w:b/>
          <w:bCs/>
          <w:color w:val="auto"/>
          <w:kern w:val="0"/>
          <w:sz w:val="32"/>
          <w:szCs w:val="32"/>
        </w:rPr>
        <w:t>（</w:t>
      </w:r>
      <w:r>
        <w:rPr>
          <w:rFonts w:eastAsia="Times New Roman"/>
          <w:b/>
          <w:bCs/>
          <w:color w:val="auto"/>
          <w:kern w:val="0"/>
          <w:sz w:val="32"/>
          <w:szCs w:val="32"/>
        </w:rPr>
        <w:t>2</w:t>
      </w:r>
      <w:r>
        <w:rPr>
          <w:rFonts w:ascii="仿宋" w:hAnsi="仿宋" w:eastAsia="仿宋" w:cs="仿宋"/>
          <w:b/>
          <w:bCs/>
          <w:color w:val="auto"/>
          <w:kern w:val="0"/>
          <w:sz w:val="32"/>
          <w:szCs w:val="32"/>
        </w:rPr>
        <w:t>）公务用车运行维护费支出</w:t>
      </w:r>
      <w:r>
        <w:rPr>
          <w:rFonts w:eastAsia="Times New Roman"/>
          <w:color w:val="auto"/>
          <w:kern w:val="0"/>
          <w:sz w:val="32"/>
          <w:szCs w:val="32"/>
          <w:u w:val="single"/>
        </w:rPr>
        <w:t>64.66</w:t>
      </w:r>
      <w:r>
        <w:rPr>
          <w:rFonts w:hint="eastAsia" w:ascii="仿宋_GB2312" w:hAnsi="仿宋_GB2312" w:eastAsia="仿宋_GB2312" w:cs="仿宋_GB2312"/>
          <w:color w:val="auto"/>
          <w:kern w:val="0"/>
          <w:sz w:val="32"/>
          <w:szCs w:val="32"/>
        </w:rPr>
        <w:t>万元。公务用车运行维护费主要用于按规定保留的公务用车的燃料费、新能源汽车充电费、维修费、过桥过路费、保险费、安全奖励费用等支出。截至</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w:t>
      </w:r>
      <w:r>
        <w:rPr>
          <w:rFonts w:eastAsia="仿宋_GB2312"/>
          <w:color w:val="auto"/>
          <w:kern w:val="0"/>
          <w:sz w:val="32"/>
          <w:szCs w:val="32"/>
        </w:rPr>
        <w:t>12</w:t>
      </w:r>
      <w:r>
        <w:rPr>
          <w:rFonts w:hint="eastAsia" w:ascii="仿宋_GB2312" w:hAnsi="仿宋_GB2312" w:eastAsia="仿宋_GB2312" w:cs="仿宋_GB2312"/>
          <w:color w:val="auto"/>
          <w:kern w:val="0"/>
          <w:sz w:val="32"/>
          <w:szCs w:val="32"/>
        </w:rPr>
        <w:t>月</w:t>
      </w:r>
      <w:r>
        <w:rPr>
          <w:rFonts w:eastAsia="仿宋_GB2312"/>
          <w:color w:val="auto"/>
          <w:kern w:val="0"/>
          <w:sz w:val="32"/>
          <w:szCs w:val="32"/>
        </w:rPr>
        <w:t>31</w:t>
      </w:r>
      <w:r>
        <w:rPr>
          <w:rFonts w:hint="eastAsia" w:ascii="仿宋_GB2312" w:hAnsi="仿宋_GB2312" w:eastAsia="仿宋_GB2312" w:cs="仿宋_GB2312"/>
          <w:color w:val="auto"/>
          <w:kern w:val="0"/>
          <w:sz w:val="32"/>
          <w:szCs w:val="32"/>
        </w:rPr>
        <w:t>日，使用财政拨款开支的公务用车保有量为</w:t>
      </w:r>
      <w:r>
        <w:rPr>
          <w:rFonts w:eastAsia="仿宋_GB2312"/>
          <w:color w:val="auto"/>
          <w:kern w:val="0"/>
          <w:sz w:val="32"/>
          <w:szCs w:val="32"/>
          <w:u w:val="single"/>
        </w:rPr>
        <w:t>36</w:t>
      </w:r>
      <w:r>
        <w:rPr>
          <w:rFonts w:hint="eastAsia" w:ascii="仿宋_GB2312" w:hAnsi="仿宋_GB2312" w:eastAsia="仿宋_GB2312" w:cs="仿宋_GB2312"/>
          <w:color w:val="auto"/>
          <w:kern w:val="0"/>
          <w:sz w:val="32"/>
          <w:szCs w:val="32"/>
        </w:rPr>
        <w:t>辆。与上年决算相比，减少</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06</w:t>
      </w:r>
      <w:r>
        <w:rPr>
          <w:rFonts w:hint="eastAsia" w:ascii="仿宋_GB2312" w:hAnsi="仿宋_GB2312" w:eastAsia="仿宋_GB2312" w:cs="仿宋_GB2312"/>
          <w:color w:val="auto"/>
          <w:kern w:val="0"/>
          <w:sz w:val="32"/>
          <w:szCs w:val="32"/>
        </w:rPr>
        <w:t>万元，下降</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10</w:t>
      </w:r>
      <w:r>
        <w:rPr>
          <w:rFonts w:hint="eastAsia" w:ascii="仿宋_GB2312" w:hAnsi="仿宋_GB2312" w:eastAsia="仿宋_GB2312" w:cs="仿宋_GB2312"/>
          <w:color w:val="auto"/>
          <w:kern w:val="0"/>
          <w:sz w:val="32"/>
          <w:szCs w:val="32"/>
        </w:rPr>
        <w:t>%，变动原因：本着过紧日子原则，尽量减少三公经费支出，压减支出</w:t>
      </w:r>
      <w:r>
        <w:rPr>
          <w:rFonts w:eastAsia="仿宋_GB2312"/>
          <w:color w:val="auto"/>
          <w:kern w:val="0"/>
          <w:sz w:val="32"/>
          <w:szCs w:val="32"/>
        </w:rPr>
        <w:t>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06</w:t>
      </w:r>
      <w:r>
        <w:rPr>
          <w:rFonts w:hint="eastAsia" w:ascii="仿宋_GB2312" w:hAnsi="仿宋_GB2312" w:eastAsia="仿宋_GB2312" w:cs="仿宋_GB2312"/>
          <w:color w:val="auto"/>
          <w:kern w:val="0"/>
          <w:sz w:val="32"/>
          <w:szCs w:val="32"/>
        </w:rPr>
        <w:t>万元。</w:t>
      </w:r>
    </w:p>
    <w:p w14:paraId="432DDCD3">
      <w:pPr>
        <w:pStyle w:val="23"/>
        <w:widowControl/>
        <w:spacing w:line="600" w:lineRule="exact"/>
        <w:ind w:firstLine="640" w:firstLineChars="200"/>
        <w:rPr>
          <w:rFonts w:eastAsia="Times New Roman"/>
          <w:color w:val="auto"/>
          <w:kern w:val="0"/>
          <w:sz w:val="24"/>
        </w:rPr>
      </w:pPr>
      <w:r>
        <w:rPr>
          <w:rFonts w:eastAsia="Times New Roman"/>
          <w:b/>
          <w:bCs/>
          <w:color w:val="auto"/>
          <w:kern w:val="0"/>
          <w:sz w:val="32"/>
          <w:szCs w:val="32"/>
        </w:rPr>
        <w:t>3</w:t>
      </w:r>
      <w:r>
        <w:rPr>
          <w:rFonts w:ascii="仿宋" w:hAnsi="仿宋" w:eastAsia="仿宋" w:cs="仿宋"/>
          <w:b/>
          <w:bCs/>
          <w:color w:val="auto"/>
          <w:kern w:val="0"/>
          <w:sz w:val="32"/>
          <w:szCs w:val="32"/>
        </w:rPr>
        <w:t>.公务接待费支出</w:t>
      </w:r>
      <w:r>
        <w:rPr>
          <w:rFonts w:eastAsia="Times New Roman"/>
          <w:color w:val="auto"/>
          <w:kern w:val="0"/>
          <w:sz w:val="32"/>
          <w:szCs w:val="32"/>
          <w:u w:val="single"/>
        </w:rPr>
        <w:t>19.34</w:t>
      </w:r>
      <w:r>
        <w:rPr>
          <w:rFonts w:hint="eastAsia" w:ascii="仿宋_GB2312" w:hAnsi="仿宋_GB2312" w:eastAsia="仿宋_GB2312" w:cs="仿宋_GB2312"/>
          <w:color w:val="auto"/>
          <w:kern w:val="0"/>
          <w:sz w:val="32"/>
          <w:szCs w:val="32"/>
        </w:rPr>
        <w:t>万元。其中：国内公务接待支出</w:t>
      </w:r>
      <w:r>
        <w:rPr>
          <w:rFonts w:eastAsia="仿宋_GB2312"/>
          <w:color w:val="auto"/>
          <w:kern w:val="0"/>
          <w:sz w:val="32"/>
          <w:szCs w:val="32"/>
          <w:u w:val="single"/>
        </w:rPr>
        <w:t>19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34</w:t>
      </w:r>
      <w:r>
        <w:rPr>
          <w:rFonts w:hint="eastAsia" w:ascii="仿宋_GB2312" w:hAnsi="仿宋_GB2312" w:eastAsia="仿宋_GB2312" w:cs="仿宋_GB2312"/>
          <w:color w:val="auto"/>
          <w:kern w:val="0"/>
          <w:sz w:val="32"/>
          <w:szCs w:val="32"/>
        </w:rPr>
        <w:t>万元，接待</w:t>
      </w:r>
      <w:r>
        <w:rPr>
          <w:rFonts w:eastAsia="仿宋_GB2312"/>
          <w:color w:val="auto"/>
          <w:kern w:val="0"/>
          <w:sz w:val="32"/>
          <w:szCs w:val="32"/>
          <w:u w:val="single"/>
        </w:rPr>
        <w:t>18</w:t>
      </w:r>
      <w:r>
        <w:rPr>
          <w:rFonts w:hint="eastAsia" w:ascii="仿宋_GB2312" w:hAnsi="仿宋_GB2312" w:eastAsia="仿宋_GB2312" w:cs="仿宋_GB2312"/>
          <w:color w:val="auto"/>
          <w:kern w:val="0"/>
          <w:sz w:val="32"/>
          <w:szCs w:val="32"/>
        </w:rPr>
        <w:t>批次，</w:t>
      </w:r>
      <w:r>
        <w:rPr>
          <w:rFonts w:eastAsia="仿宋_GB2312"/>
          <w:color w:val="auto"/>
          <w:kern w:val="0"/>
          <w:sz w:val="32"/>
          <w:szCs w:val="32"/>
          <w:u w:val="single"/>
        </w:rPr>
        <w:t>81</w:t>
      </w:r>
      <w:r>
        <w:rPr>
          <w:rFonts w:hint="eastAsia" w:ascii="仿宋_GB2312" w:hAnsi="仿宋_GB2312" w:eastAsia="仿宋_GB2312" w:cs="仿宋_GB2312"/>
          <w:color w:val="auto"/>
          <w:kern w:val="0"/>
          <w:sz w:val="32"/>
          <w:szCs w:val="32"/>
        </w:rPr>
        <w:t>人次，开支内容：接待最高检工作交流支出、接待基层检察院来呼和浩特工作汇报支出、接待检察日报方圆杂志采访支出、接待全国人大代表走访支出等；国（境）外公务接待支出</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万元，接待</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批次，</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人次，开支内容：无。与上年决算相比，增加</w:t>
      </w:r>
      <w:r>
        <w:rPr>
          <w:rFonts w:eastAsia="仿宋_GB2312"/>
          <w:color w:val="auto"/>
          <w:kern w:val="0"/>
          <w:sz w:val="32"/>
          <w:szCs w:val="32"/>
          <w:u w:val="single"/>
        </w:rPr>
        <w:t>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52</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39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99</w:t>
      </w:r>
      <w:r>
        <w:rPr>
          <w:rFonts w:hint="eastAsia" w:ascii="仿宋_GB2312" w:hAnsi="仿宋_GB2312" w:eastAsia="仿宋_GB2312" w:cs="仿宋_GB2312"/>
          <w:color w:val="auto"/>
          <w:kern w:val="0"/>
          <w:sz w:val="32"/>
          <w:szCs w:val="32"/>
        </w:rPr>
        <w:t>%，变动原因：公务接待中外事接待较上一年增加</w:t>
      </w:r>
      <w:r>
        <w:rPr>
          <w:rFonts w:eastAsia="仿宋_GB2312"/>
          <w:color w:val="auto"/>
          <w:kern w:val="0"/>
          <w:sz w:val="32"/>
          <w:szCs w:val="32"/>
        </w:rPr>
        <w:t>1</w:t>
      </w:r>
      <w:r>
        <w:rPr>
          <w:rFonts w:hint="eastAsia" w:ascii="仿宋_GB2312" w:hAnsi="仿宋_GB2312" w:eastAsia="仿宋_GB2312" w:cs="仿宋_GB2312"/>
          <w:color w:val="auto"/>
          <w:kern w:val="0"/>
          <w:sz w:val="32"/>
          <w:szCs w:val="32"/>
        </w:rPr>
        <w:t>批次，支出数较上一年增加。</w:t>
      </w:r>
    </w:p>
    <w:p w14:paraId="40EC9196">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九、政府性基金预算财政拨款支出决算情况说明</w:t>
      </w:r>
    </w:p>
    <w:p w14:paraId="488639B5">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年度政府性基金预算财政拨款支出决算</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%，变动原因：本年无政府性基金预算财政拨款收、支、余。</w:t>
      </w:r>
    </w:p>
    <w:p w14:paraId="6AD9C226">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十、国有资本经营预算财政拨款支出决算情况说明</w:t>
      </w:r>
    </w:p>
    <w:p w14:paraId="355E9AAB">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年度国有资本经营预算财政拨款支出决算</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万元。与上年决算相比，增加</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%，变动原因：本年无国有资本经营预算财政拨款收、支、余。</w:t>
      </w:r>
    </w:p>
    <w:p w14:paraId="622AF9DA">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十一、机关运行经费（公用经费）支出决算情况说明</w:t>
      </w:r>
    </w:p>
    <w:p w14:paraId="43009B77">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年度公用经费支出决算</w:t>
      </w:r>
      <w:r>
        <w:rPr>
          <w:rFonts w:eastAsia="仿宋_GB2312"/>
          <w:color w:val="auto"/>
          <w:kern w:val="0"/>
          <w:sz w:val="32"/>
          <w:szCs w:val="32"/>
          <w:u w:val="single"/>
        </w:rPr>
        <w:t>1028</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47</w:t>
      </w:r>
      <w:r>
        <w:rPr>
          <w:rFonts w:hint="eastAsia" w:ascii="仿宋_GB2312" w:hAnsi="仿宋_GB2312" w:eastAsia="仿宋_GB2312" w:cs="仿宋_GB2312"/>
          <w:color w:val="auto"/>
          <w:kern w:val="0"/>
          <w:sz w:val="32"/>
          <w:szCs w:val="32"/>
        </w:rPr>
        <w:t>万元，与上年决算相比，增加</w:t>
      </w:r>
      <w:r>
        <w:rPr>
          <w:rFonts w:eastAsia="仿宋_GB2312"/>
          <w:color w:val="auto"/>
          <w:kern w:val="0"/>
          <w:sz w:val="32"/>
          <w:szCs w:val="32"/>
          <w:u w:val="single"/>
        </w:rPr>
        <w:t>26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11</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%，变动原因：由于职工工资基数变动，本年度福利费、工会经费及其他交通费用对应增加，支出增加。其中，机关运行经费支出决算</w:t>
      </w:r>
      <w:r>
        <w:rPr>
          <w:rFonts w:eastAsia="仿宋_GB2312"/>
          <w:color w:val="auto"/>
          <w:kern w:val="0"/>
          <w:sz w:val="32"/>
          <w:szCs w:val="32"/>
          <w:u w:val="single"/>
        </w:rPr>
        <w:t>1028</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47</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auto"/>
          <w:kern w:val="0"/>
          <w:sz w:val="32"/>
          <w:szCs w:val="32"/>
          <w:lang w:eastAsia="zh-CN"/>
        </w:rPr>
        <w:t>与</w:t>
      </w:r>
      <w:r>
        <w:rPr>
          <w:rFonts w:hint="eastAsia" w:ascii="仿宋_GB2312" w:hAnsi="仿宋_GB2312" w:eastAsia="仿宋_GB2312" w:cs="仿宋_GB2312"/>
          <w:color w:val="auto"/>
          <w:kern w:val="0"/>
          <w:sz w:val="32"/>
          <w:szCs w:val="32"/>
        </w:rPr>
        <w:t>上年决算相比，增加</w:t>
      </w:r>
      <w:r>
        <w:rPr>
          <w:rFonts w:eastAsia="仿宋_GB2312"/>
          <w:color w:val="auto"/>
          <w:kern w:val="0"/>
          <w:sz w:val="32"/>
          <w:szCs w:val="32"/>
          <w:u w:val="single"/>
        </w:rPr>
        <w:t>26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11</w:t>
      </w:r>
      <w:r>
        <w:rPr>
          <w:rFonts w:hint="eastAsia" w:ascii="仿宋_GB2312" w:hAnsi="仿宋_GB2312" w:eastAsia="仿宋_GB2312" w:cs="仿宋_GB2312"/>
          <w:color w:val="auto"/>
          <w:kern w:val="0"/>
          <w:sz w:val="32"/>
          <w:szCs w:val="32"/>
        </w:rPr>
        <w:t>万元，增长</w:t>
      </w:r>
      <w:r>
        <w:rPr>
          <w:rFonts w:eastAsia="仿宋_GB2312"/>
          <w:color w:val="auto"/>
          <w:kern w:val="0"/>
          <w:sz w:val="32"/>
          <w:szCs w:val="32"/>
          <w:u w:val="single"/>
        </w:rPr>
        <w:t>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60</w:t>
      </w:r>
      <w:r>
        <w:rPr>
          <w:rFonts w:hint="eastAsia" w:ascii="仿宋_GB2312" w:hAnsi="仿宋_GB2312" w:eastAsia="仿宋_GB2312" w:cs="仿宋_GB2312"/>
          <w:color w:val="auto"/>
          <w:kern w:val="0"/>
          <w:sz w:val="32"/>
          <w:szCs w:val="32"/>
        </w:rPr>
        <w:t>%，变动原因：由于职工工资基数变动，本年度福利费、工会经费及其他交通费用对应增加，支出增加。</w:t>
      </w:r>
    </w:p>
    <w:p w14:paraId="65E98B24">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十二、政府采购支出决算情况说明</w:t>
      </w:r>
    </w:p>
    <w:p w14:paraId="66B973A0">
      <w:pPr>
        <w:pStyle w:val="23"/>
        <w:widowControl/>
        <w:spacing w:line="64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年度政府采购支出总额</w:t>
      </w:r>
      <w:r>
        <w:rPr>
          <w:rFonts w:eastAsia="仿宋_GB2312"/>
          <w:color w:val="auto"/>
          <w:kern w:val="0"/>
          <w:sz w:val="32"/>
          <w:szCs w:val="32"/>
          <w:u w:val="single"/>
        </w:rPr>
        <w:t>1140</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99</w:t>
      </w:r>
      <w:r>
        <w:rPr>
          <w:rFonts w:hint="eastAsia" w:ascii="仿宋_GB2312" w:hAnsi="仿宋_GB2312" w:eastAsia="仿宋_GB2312" w:cs="仿宋_GB2312"/>
          <w:color w:val="auto"/>
          <w:kern w:val="0"/>
          <w:sz w:val="32"/>
          <w:szCs w:val="32"/>
        </w:rPr>
        <w:t>万元，其中：政府采购货物支出</w:t>
      </w:r>
      <w:r>
        <w:rPr>
          <w:rFonts w:eastAsia="仿宋_GB2312"/>
          <w:color w:val="auto"/>
          <w:kern w:val="0"/>
          <w:sz w:val="32"/>
          <w:szCs w:val="32"/>
          <w:u w:val="single"/>
        </w:rPr>
        <w:t>792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94</w:t>
      </w:r>
      <w:r>
        <w:rPr>
          <w:rFonts w:hint="eastAsia" w:ascii="仿宋_GB2312" w:hAnsi="仿宋_GB2312" w:eastAsia="仿宋_GB2312" w:cs="仿宋_GB2312"/>
          <w:color w:val="auto"/>
          <w:kern w:val="0"/>
          <w:sz w:val="32"/>
          <w:szCs w:val="32"/>
        </w:rPr>
        <w:t>万元、政府采购工程支出</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万元、政府采购服务支出</w:t>
      </w:r>
      <w:r>
        <w:rPr>
          <w:rFonts w:eastAsia="仿宋_GB2312"/>
          <w:color w:val="auto"/>
          <w:kern w:val="0"/>
          <w:sz w:val="32"/>
          <w:szCs w:val="32"/>
          <w:u w:val="single"/>
        </w:rPr>
        <w:t>348</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06</w:t>
      </w:r>
      <w:r>
        <w:rPr>
          <w:rFonts w:hint="eastAsia" w:ascii="仿宋_GB2312" w:hAnsi="仿宋_GB2312" w:eastAsia="仿宋_GB2312" w:cs="仿宋_GB2312"/>
          <w:color w:val="auto"/>
          <w:kern w:val="0"/>
          <w:sz w:val="32"/>
          <w:szCs w:val="32"/>
        </w:rPr>
        <w:t>万元。政府采购授予中小企</w:t>
      </w:r>
      <w:r>
        <w:rPr>
          <w:rFonts w:hint="eastAsia" w:ascii="仿宋_GB2312" w:hAnsi="仿宋_GB2312" w:eastAsia="仿宋_GB2312" w:cs="仿宋_GB2312"/>
          <w:color w:val="auto"/>
          <w:kern w:val="0"/>
          <w:sz w:val="32"/>
          <w:szCs w:val="32"/>
          <w:highlight w:val="none"/>
        </w:rPr>
        <w:t>业合同金额</w:t>
      </w:r>
      <w:r>
        <w:rPr>
          <w:rFonts w:eastAsia="仿宋_GB2312"/>
          <w:color w:val="auto"/>
          <w:kern w:val="0"/>
          <w:sz w:val="32"/>
          <w:szCs w:val="32"/>
          <w:highlight w:val="none"/>
          <w:u w:val="single"/>
        </w:rPr>
        <w:t>945</w:t>
      </w:r>
      <w:r>
        <w:rPr>
          <w:rFonts w:hint="eastAsia" w:ascii="仿宋_GB2312" w:hAnsi="仿宋_GB2312" w:eastAsia="仿宋_GB2312" w:cs="仿宋_GB2312"/>
          <w:color w:val="auto"/>
          <w:kern w:val="0"/>
          <w:sz w:val="32"/>
          <w:szCs w:val="32"/>
          <w:highlight w:val="none"/>
          <w:u w:val="single"/>
        </w:rPr>
        <w:t>.</w:t>
      </w:r>
      <w:r>
        <w:rPr>
          <w:rFonts w:eastAsia="仿宋_GB2312"/>
          <w:color w:val="auto"/>
          <w:kern w:val="0"/>
          <w:sz w:val="32"/>
          <w:szCs w:val="32"/>
          <w:highlight w:val="none"/>
          <w:u w:val="single"/>
        </w:rPr>
        <w:t>72</w:t>
      </w:r>
      <w:r>
        <w:rPr>
          <w:rFonts w:hint="eastAsia" w:ascii="仿宋_GB2312" w:hAnsi="仿宋_GB2312" w:eastAsia="仿宋_GB2312" w:cs="仿宋_GB2312"/>
          <w:color w:val="auto"/>
          <w:kern w:val="0"/>
          <w:sz w:val="32"/>
          <w:szCs w:val="32"/>
          <w:highlight w:val="none"/>
        </w:rPr>
        <w:t>万元，占政府采购支出总额的</w:t>
      </w:r>
      <w:r>
        <w:rPr>
          <w:rFonts w:eastAsia="仿宋_GB2312"/>
          <w:color w:val="auto"/>
          <w:kern w:val="0"/>
          <w:sz w:val="32"/>
          <w:szCs w:val="32"/>
          <w:highlight w:val="none"/>
          <w:u w:val="single"/>
        </w:rPr>
        <w:t>82</w:t>
      </w:r>
      <w:r>
        <w:rPr>
          <w:rFonts w:hint="eastAsia" w:ascii="仿宋_GB2312" w:hAnsi="仿宋_GB2312" w:eastAsia="仿宋_GB2312" w:cs="仿宋_GB2312"/>
          <w:color w:val="auto"/>
          <w:kern w:val="0"/>
          <w:sz w:val="32"/>
          <w:szCs w:val="32"/>
          <w:highlight w:val="none"/>
          <w:u w:val="single"/>
        </w:rPr>
        <w:t>.</w:t>
      </w:r>
      <w:r>
        <w:rPr>
          <w:rFonts w:eastAsia="仿宋_GB2312"/>
          <w:color w:val="auto"/>
          <w:kern w:val="0"/>
          <w:sz w:val="32"/>
          <w:szCs w:val="32"/>
          <w:highlight w:val="none"/>
          <w:u w:val="single"/>
        </w:rPr>
        <w:t>89</w:t>
      </w:r>
      <w:r>
        <w:rPr>
          <w:rFonts w:hint="eastAsia" w:ascii="仿宋_GB2312" w:hAnsi="仿宋_GB2312" w:eastAsia="仿宋_GB2312" w:cs="仿宋_GB2312"/>
          <w:color w:val="auto"/>
          <w:kern w:val="0"/>
          <w:sz w:val="32"/>
          <w:szCs w:val="32"/>
          <w:highlight w:val="none"/>
        </w:rPr>
        <w:t>%，其中：授予小微企业合同金额</w:t>
      </w:r>
      <w:r>
        <w:rPr>
          <w:rFonts w:eastAsia="仿宋_GB2312"/>
          <w:color w:val="auto"/>
          <w:kern w:val="0"/>
          <w:sz w:val="32"/>
          <w:szCs w:val="32"/>
          <w:highlight w:val="none"/>
          <w:u w:val="single"/>
        </w:rPr>
        <w:t>945</w:t>
      </w:r>
      <w:r>
        <w:rPr>
          <w:rFonts w:hint="eastAsia" w:ascii="仿宋_GB2312" w:hAnsi="仿宋_GB2312" w:eastAsia="仿宋_GB2312" w:cs="仿宋_GB2312"/>
          <w:color w:val="auto"/>
          <w:kern w:val="0"/>
          <w:sz w:val="32"/>
          <w:szCs w:val="32"/>
          <w:highlight w:val="none"/>
          <w:u w:val="single"/>
        </w:rPr>
        <w:t>.</w:t>
      </w:r>
      <w:r>
        <w:rPr>
          <w:rFonts w:eastAsia="仿宋_GB2312"/>
          <w:color w:val="auto"/>
          <w:kern w:val="0"/>
          <w:sz w:val="32"/>
          <w:szCs w:val="32"/>
          <w:highlight w:val="none"/>
          <w:u w:val="single"/>
        </w:rPr>
        <w:t>72</w:t>
      </w:r>
      <w:r>
        <w:rPr>
          <w:rFonts w:hint="eastAsia" w:ascii="仿宋_GB2312" w:hAnsi="仿宋_GB2312" w:eastAsia="仿宋_GB2312" w:cs="仿宋_GB2312"/>
          <w:color w:val="auto"/>
          <w:kern w:val="0"/>
          <w:sz w:val="32"/>
          <w:szCs w:val="32"/>
          <w:highlight w:val="none"/>
        </w:rPr>
        <w:t>万元，占政府采购支出总额的</w:t>
      </w:r>
      <w:r>
        <w:rPr>
          <w:rFonts w:eastAsia="仿宋_GB2312"/>
          <w:color w:val="auto"/>
          <w:kern w:val="0"/>
          <w:sz w:val="32"/>
          <w:szCs w:val="32"/>
          <w:highlight w:val="none"/>
          <w:u w:val="single"/>
        </w:rPr>
        <w:t>82</w:t>
      </w:r>
      <w:r>
        <w:rPr>
          <w:rFonts w:hint="eastAsia" w:ascii="仿宋_GB2312" w:hAnsi="仿宋_GB2312" w:eastAsia="仿宋_GB2312" w:cs="仿宋_GB2312"/>
          <w:color w:val="auto"/>
          <w:kern w:val="0"/>
          <w:sz w:val="32"/>
          <w:szCs w:val="32"/>
          <w:highlight w:val="none"/>
          <w:u w:val="single"/>
        </w:rPr>
        <w:t>.</w:t>
      </w:r>
      <w:r>
        <w:rPr>
          <w:rFonts w:eastAsia="仿宋_GB2312"/>
          <w:color w:val="auto"/>
          <w:kern w:val="0"/>
          <w:sz w:val="32"/>
          <w:szCs w:val="32"/>
          <w:highlight w:val="none"/>
          <w:u w:val="single"/>
        </w:rPr>
        <w:t>89</w:t>
      </w:r>
      <w:r>
        <w:rPr>
          <w:rFonts w:hint="eastAsia" w:ascii="仿宋_GB2312" w:hAnsi="仿宋_GB2312" w:eastAsia="仿宋_GB2312" w:cs="仿宋_GB2312"/>
          <w:color w:val="auto"/>
          <w:kern w:val="0"/>
          <w:sz w:val="32"/>
          <w:szCs w:val="32"/>
          <w:highlight w:val="none"/>
        </w:rPr>
        <w:t>%；货物采购授予中小企业合同金额占货物支出金额的</w:t>
      </w:r>
      <w:r>
        <w:rPr>
          <w:rFonts w:hint="eastAsia" w:ascii="仿宋_GB2312" w:hAnsi="仿宋_GB2312" w:eastAsia="仿宋_GB2312" w:cs="仿宋_GB2312"/>
          <w:color w:val="auto"/>
          <w:kern w:val="0"/>
          <w:sz w:val="32"/>
          <w:szCs w:val="32"/>
          <w:highlight w:val="none"/>
          <w:u w:val="single"/>
          <w:lang w:val="en-US" w:eastAsia="zh-CN"/>
        </w:rPr>
        <w:t>95.59</w:t>
      </w:r>
      <w:r>
        <w:rPr>
          <w:rFonts w:hint="eastAsia" w:ascii="仿宋_GB2312" w:hAnsi="仿宋_GB2312" w:eastAsia="仿宋_GB2312" w:cs="仿宋_GB2312"/>
          <w:color w:val="auto"/>
          <w:kern w:val="0"/>
          <w:sz w:val="32"/>
          <w:szCs w:val="32"/>
          <w:highlight w:val="none"/>
        </w:rPr>
        <w:t>%，工程采购授予中小企业合同金额占工程支出金额的</w:t>
      </w:r>
      <w:r>
        <w:rPr>
          <w:rFonts w:eastAsia="仿宋_GB2312"/>
          <w:color w:val="auto"/>
          <w:kern w:val="0"/>
          <w:sz w:val="32"/>
          <w:szCs w:val="32"/>
          <w:highlight w:val="none"/>
          <w:u w:val="single"/>
        </w:rPr>
        <w:t>0</w:t>
      </w:r>
      <w:r>
        <w:rPr>
          <w:rFonts w:hint="eastAsia" w:ascii="仿宋_GB2312" w:hAnsi="仿宋_GB2312" w:eastAsia="仿宋_GB2312" w:cs="仿宋_GB2312"/>
          <w:color w:val="auto"/>
          <w:kern w:val="0"/>
          <w:sz w:val="32"/>
          <w:szCs w:val="32"/>
          <w:highlight w:val="none"/>
        </w:rPr>
        <w:t>%，服务采购授予中小企业合同金额占服务支出金额的</w:t>
      </w:r>
      <w:r>
        <w:rPr>
          <w:rFonts w:hint="eastAsia" w:ascii="仿宋_GB2312" w:hAnsi="仿宋_GB2312" w:eastAsia="仿宋_GB2312" w:cs="仿宋_GB2312"/>
          <w:color w:val="auto"/>
          <w:kern w:val="0"/>
          <w:sz w:val="32"/>
          <w:szCs w:val="32"/>
          <w:highlight w:val="none"/>
          <w:u w:val="single"/>
          <w:lang w:val="en-US" w:eastAsia="zh-CN"/>
        </w:rPr>
        <w:t>53.94</w:t>
      </w:r>
      <w:r>
        <w:rPr>
          <w:rFonts w:hint="eastAsia" w:ascii="仿宋_GB2312" w:hAnsi="仿宋_GB2312" w:eastAsia="仿宋_GB2312" w:cs="仿宋_GB2312"/>
          <w:color w:val="auto"/>
          <w:kern w:val="0"/>
          <w:sz w:val="32"/>
          <w:szCs w:val="32"/>
          <w:highlight w:val="none"/>
        </w:rPr>
        <w:t>%。</w:t>
      </w:r>
    </w:p>
    <w:p w14:paraId="20F64B6C">
      <w:pPr>
        <w:pStyle w:val="23"/>
        <w:widowControl/>
        <w:spacing w:line="640" w:lineRule="exact"/>
        <w:ind w:firstLine="640" w:firstLineChars="200"/>
        <w:rPr>
          <w:rFonts w:eastAsia="Times New Roman"/>
          <w:color w:val="auto"/>
          <w:kern w:val="0"/>
          <w:sz w:val="24"/>
        </w:rPr>
      </w:pPr>
      <w:r>
        <w:rPr>
          <w:rFonts w:ascii="黑体" w:hAnsi="黑体" w:eastAsia="黑体" w:cs="黑体"/>
          <w:bCs/>
          <w:color w:val="auto"/>
          <w:kern w:val="0"/>
          <w:sz w:val="32"/>
          <w:szCs w:val="32"/>
        </w:rPr>
        <w:t>十三、国有资产占用情况说明</w:t>
      </w:r>
    </w:p>
    <w:p w14:paraId="208B8CF2">
      <w:pPr>
        <w:pStyle w:val="23"/>
        <w:widowControl/>
        <w:spacing w:line="64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内蒙古自治区人民检察院（本级）截至</w:t>
      </w:r>
      <w:r>
        <w:rPr>
          <w:rFonts w:eastAsia="仿宋_GB2312"/>
          <w:color w:val="auto"/>
          <w:kern w:val="0"/>
          <w:sz w:val="32"/>
          <w:szCs w:val="32"/>
        </w:rPr>
        <w:t>2025</w:t>
      </w:r>
      <w:r>
        <w:rPr>
          <w:rFonts w:hint="eastAsia" w:ascii="仿宋_GB2312" w:hAnsi="仿宋_GB2312" w:eastAsia="仿宋_GB2312" w:cs="仿宋_GB2312"/>
          <w:color w:val="auto"/>
          <w:kern w:val="0"/>
          <w:sz w:val="32"/>
          <w:szCs w:val="32"/>
        </w:rPr>
        <w:t>年</w:t>
      </w:r>
      <w:r>
        <w:rPr>
          <w:rFonts w:eastAsia="仿宋_GB2312"/>
          <w:color w:val="auto"/>
          <w:kern w:val="0"/>
          <w:sz w:val="32"/>
          <w:szCs w:val="32"/>
        </w:rPr>
        <w:t>12</w:t>
      </w:r>
      <w:r>
        <w:rPr>
          <w:rFonts w:hint="eastAsia" w:ascii="仿宋_GB2312" w:hAnsi="仿宋_GB2312" w:eastAsia="仿宋_GB2312" w:cs="仿宋_GB2312"/>
          <w:color w:val="auto"/>
          <w:kern w:val="0"/>
          <w:sz w:val="32"/>
          <w:szCs w:val="32"/>
        </w:rPr>
        <w:t>月</w:t>
      </w:r>
      <w:r>
        <w:rPr>
          <w:rFonts w:eastAsia="仿宋_GB2312"/>
          <w:color w:val="auto"/>
          <w:kern w:val="0"/>
          <w:sz w:val="32"/>
          <w:szCs w:val="32"/>
        </w:rPr>
        <w:t>31</w:t>
      </w:r>
      <w:r>
        <w:rPr>
          <w:rFonts w:hint="eastAsia" w:ascii="仿宋_GB2312" w:hAnsi="仿宋_GB2312" w:eastAsia="仿宋_GB2312" w:cs="仿宋_GB2312"/>
          <w:color w:val="auto"/>
          <w:kern w:val="0"/>
          <w:sz w:val="32"/>
          <w:szCs w:val="32"/>
        </w:rPr>
        <w:t>日，本单位共有车辆</w:t>
      </w:r>
      <w:r>
        <w:rPr>
          <w:rFonts w:eastAsia="仿宋_GB2312"/>
          <w:color w:val="auto"/>
          <w:kern w:val="0"/>
          <w:sz w:val="32"/>
          <w:szCs w:val="32"/>
          <w:u w:val="single"/>
        </w:rPr>
        <w:t>36</w:t>
      </w:r>
      <w:r>
        <w:rPr>
          <w:rFonts w:hint="eastAsia" w:ascii="仿宋_GB2312" w:hAnsi="仿宋_GB2312" w:eastAsia="仿宋_GB2312" w:cs="仿宋_GB2312"/>
          <w:color w:val="auto"/>
          <w:kern w:val="0"/>
          <w:sz w:val="32"/>
          <w:szCs w:val="32"/>
        </w:rPr>
        <w:t>辆，其中：副部（省）级及以上领导用车</w:t>
      </w:r>
      <w:r>
        <w:rPr>
          <w:rFonts w:eastAsia="仿宋_GB2312"/>
          <w:color w:val="auto"/>
          <w:kern w:val="0"/>
          <w:sz w:val="32"/>
          <w:szCs w:val="32"/>
          <w:u w:val="single"/>
        </w:rPr>
        <w:t>1</w:t>
      </w:r>
      <w:r>
        <w:rPr>
          <w:rFonts w:hint="eastAsia" w:ascii="仿宋_GB2312" w:hAnsi="仿宋_GB2312" w:eastAsia="仿宋_GB2312" w:cs="仿宋_GB2312"/>
          <w:color w:val="auto"/>
          <w:kern w:val="0"/>
          <w:sz w:val="32"/>
          <w:szCs w:val="32"/>
        </w:rPr>
        <w:t>辆、主要负责人用车</w:t>
      </w:r>
      <w:r>
        <w:rPr>
          <w:rFonts w:eastAsia="仿宋_GB2312"/>
          <w:color w:val="auto"/>
          <w:kern w:val="0"/>
          <w:sz w:val="32"/>
          <w:szCs w:val="32"/>
          <w:u w:val="single"/>
        </w:rPr>
        <w:t>1</w:t>
      </w:r>
      <w:r>
        <w:rPr>
          <w:rFonts w:hint="eastAsia" w:ascii="仿宋_GB2312" w:hAnsi="仿宋_GB2312" w:eastAsia="仿宋_GB2312" w:cs="仿宋_GB2312"/>
          <w:color w:val="auto"/>
          <w:kern w:val="0"/>
          <w:sz w:val="32"/>
          <w:szCs w:val="32"/>
        </w:rPr>
        <w:t>辆、机要通信用车</w:t>
      </w:r>
      <w:r>
        <w:rPr>
          <w:rFonts w:eastAsia="仿宋_GB2312"/>
          <w:color w:val="auto"/>
          <w:kern w:val="0"/>
          <w:sz w:val="32"/>
          <w:szCs w:val="32"/>
          <w:u w:val="single"/>
        </w:rPr>
        <w:t>6</w:t>
      </w:r>
      <w:r>
        <w:rPr>
          <w:rFonts w:hint="eastAsia" w:ascii="仿宋_GB2312" w:hAnsi="仿宋_GB2312" w:eastAsia="仿宋_GB2312" w:cs="仿宋_GB2312"/>
          <w:color w:val="auto"/>
          <w:kern w:val="0"/>
          <w:sz w:val="32"/>
          <w:szCs w:val="32"/>
        </w:rPr>
        <w:t>辆、应急保障用车</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辆、执法执勤用车</w:t>
      </w:r>
      <w:r>
        <w:rPr>
          <w:rFonts w:eastAsia="仿宋_GB2312"/>
          <w:color w:val="auto"/>
          <w:kern w:val="0"/>
          <w:sz w:val="32"/>
          <w:szCs w:val="32"/>
          <w:u w:val="single"/>
        </w:rPr>
        <w:t>18</w:t>
      </w:r>
      <w:r>
        <w:rPr>
          <w:rFonts w:hint="eastAsia" w:ascii="仿宋_GB2312" w:hAnsi="仿宋_GB2312" w:eastAsia="仿宋_GB2312" w:cs="仿宋_GB2312"/>
          <w:color w:val="auto"/>
          <w:kern w:val="0"/>
          <w:sz w:val="32"/>
          <w:szCs w:val="32"/>
        </w:rPr>
        <w:t>辆、特种专业技术用车</w:t>
      </w:r>
      <w:r>
        <w:rPr>
          <w:rFonts w:eastAsia="仿宋_GB2312"/>
          <w:color w:val="auto"/>
          <w:kern w:val="0"/>
          <w:sz w:val="32"/>
          <w:szCs w:val="32"/>
          <w:u w:val="single"/>
        </w:rPr>
        <w:t>6</w:t>
      </w:r>
      <w:r>
        <w:rPr>
          <w:rFonts w:hint="eastAsia" w:ascii="仿宋_GB2312" w:hAnsi="仿宋_GB2312" w:eastAsia="仿宋_GB2312" w:cs="仿宋_GB2312"/>
          <w:color w:val="auto"/>
          <w:kern w:val="0"/>
          <w:sz w:val="32"/>
          <w:szCs w:val="32"/>
        </w:rPr>
        <w:t>辆、离退休干部服务用车</w:t>
      </w:r>
      <w:r>
        <w:rPr>
          <w:rFonts w:eastAsia="仿宋_GB2312"/>
          <w:color w:val="auto"/>
          <w:kern w:val="0"/>
          <w:sz w:val="32"/>
          <w:szCs w:val="32"/>
          <w:u w:val="single"/>
        </w:rPr>
        <w:t>2</w:t>
      </w:r>
      <w:r>
        <w:rPr>
          <w:rFonts w:hint="eastAsia" w:ascii="仿宋_GB2312" w:hAnsi="仿宋_GB2312" w:eastAsia="仿宋_GB2312" w:cs="仿宋_GB2312"/>
          <w:color w:val="auto"/>
          <w:kern w:val="0"/>
          <w:sz w:val="32"/>
          <w:szCs w:val="32"/>
        </w:rPr>
        <w:t>辆、其他用车</w:t>
      </w:r>
      <w:r>
        <w:rPr>
          <w:rFonts w:eastAsia="仿宋_GB2312"/>
          <w:color w:val="auto"/>
          <w:kern w:val="0"/>
          <w:sz w:val="32"/>
          <w:szCs w:val="32"/>
          <w:u w:val="single"/>
        </w:rPr>
        <w:t>2</w:t>
      </w:r>
      <w:r>
        <w:rPr>
          <w:rFonts w:hint="eastAsia" w:ascii="仿宋_GB2312" w:hAnsi="仿宋_GB2312" w:eastAsia="仿宋_GB2312" w:cs="仿宋_GB2312"/>
          <w:color w:val="auto"/>
          <w:kern w:val="0"/>
          <w:sz w:val="32"/>
          <w:szCs w:val="32"/>
        </w:rPr>
        <w:t>辆，其他用车主要是调研用车；单价</w:t>
      </w:r>
      <w:r>
        <w:rPr>
          <w:rFonts w:eastAsia="仿宋_GB2312"/>
          <w:color w:val="auto"/>
          <w:kern w:val="0"/>
          <w:sz w:val="32"/>
          <w:szCs w:val="32"/>
        </w:rPr>
        <w:t>100</w:t>
      </w:r>
      <w:r>
        <w:rPr>
          <w:rFonts w:hint="eastAsia" w:ascii="仿宋_GB2312" w:hAnsi="仿宋_GB2312" w:eastAsia="仿宋_GB2312" w:cs="仿宋_GB2312"/>
          <w:color w:val="auto"/>
          <w:kern w:val="0"/>
          <w:sz w:val="32"/>
          <w:szCs w:val="32"/>
        </w:rPr>
        <w:t>万元（含）以上设备（不含车辆）</w:t>
      </w:r>
      <w:r>
        <w:rPr>
          <w:rFonts w:eastAsia="仿宋_GB2312"/>
          <w:color w:val="auto"/>
          <w:kern w:val="0"/>
          <w:sz w:val="32"/>
          <w:szCs w:val="32"/>
          <w:u w:val="single"/>
        </w:rPr>
        <w:t>58</w:t>
      </w:r>
      <w:r>
        <w:rPr>
          <w:rFonts w:hint="eastAsia" w:ascii="仿宋_GB2312" w:hAnsi="仿宋_GB2312" w:eastAsia="仿宋_GB2312" w:cs="仿宋_GB2312"/>
          <w:color w:val="auto"/>
          <w:kern w:val="0"/>
          <w:sz w:val="32"/>
          <w:szCs w:val="32"/>
        </w:rPr>
        <w:t>台（套）。</w:t>
      </w:r>
    </w:p>
    <w:p w14:paraId="0885F8A2">
      <w:pPr>
        <w:pStyle w:val="23"/>
        <w:widowControl/>
        <w:spacing w:line="600" w:lineRule="exact"/>
        <w:ind w:firstLine="640" w:firstLineChars="200"/>
        <w:rPr>
          <w:rFonts w:eastAsia="Times New Roman"/>
          <w:color w:val="auto"/>
          <w:kern w:val="0"/>
          <w:sz w:val="24"/>
        </w:rPr>
      </w:pPr>
      <w:r>
        <w:rPr>
          <w:rFonts w:ascii="黑体" w:hAnsi="黑体" w:eastAsia="黑体" w:cs="黑体"/>
          <w:bCs/>
          <w:color w:val="auto"/>
          <w:kern w:val="0"/>
          <w:sz w:val="32"/>
          <w:szCs w:val="32"/>
        </w:rPr>
        <w:t>十四、预算绩效情况说明</w:t>
      </w:r>
    </w:p>
    <w:p w14:paraId="44A8DABF">
      <w:pPr>
        <w:pStyle w:val="23"/>
        <w:widowControl/>
        <w:spacing w:line="600" w:lineRule="exact"/>
        <w:ind w:firstLine="640" w:firstLineChars="200"/>
        <w:rPr>
          <w:rFonts w:hint="eastAsia" w:ascii="楷体_GB2312" w:eastAsia="楷体_GB2312"/>
          <w:color w:val="auto"/>
          <w:kern w:val="0"/>
          <w:sz w:val="24"/>
        </w:rPr>
      </w:pPr>
      <w:r>
        <w:rPr>
          <w:rFonts w:hint="eastAsia" w:ascii="楷体_GB2312" w:hAnsi="楷体" w:eastAsia="楷体_GB2312" w:cs="楷体"/>
          <w:bCs/>
          <w:color w:val="auto"/>
          <w:kern w:val="0"/>
          <w:sz w:val="32"/>
          <w:szCs w:val="32"/>
        </w:rPr>
        <w:t>（一）预算绩效管理工作开展情况</w:t>
      </w:r>
    </w:p>
    <w:p w14:paraId="1AFFD912">
      <w:pPr>
        <w:pStyle w:val="23"/>
        <w:widowControl/>
        <w:spacing w:line="600" w:lineRule="exact"/>
        <w:ind w:firstLine="640" w:firstLineChars="200"/>
        <w:rPr>
          <w:rFonts w:eastAsia="仿宋"/>
          <w:color w:val="auto"/>
          <w:kern w:val="0"/>
          <w:sz w:val="24"/>
        </w:rPr>
      </w:pPr>
      <w:r>
        <w:rPr>
          <w:rFonts w:ascii="仿宋" w:hAnsi="仿宋" w:eastAsia="仿宋" w:cs="仿宋"/>
          <w:color w:val="auto"/>
          <w:kern w:val="0"/>
          <w:sz w:val="32"/>
          <w:szCs w:val="32"/>
        </w:rPr>
        <w:t>内蒙古自治区人民检察院（本级）根据预算绩效管理要求组织对</w:t>
      </w:r>
      <w:r>
        <w:rPr>
          <w:rFonts w:eastAsia="Times New Roman"/>
          <w:color w:val="auto"/>
          <w:kern w:val="0"/>
          <w:sz w:val="32"/>
          <w:szCs w:val="32"/>
        </w:rPr>
        <w:t>2025</w:t>
      </w:r>
      <w:r>
        <w:rPr>
          <w:rFonts w:ascii="仿宋" w:hAnsi="仿宋" w:eastAsia="仿宋" w:cs="仿宋"/>
          <w:color w:val="auto"/>
          <w:kern w:val="0"/>
          <w:sz w:val="32"/>
          <w:szCs w:val="32"/>
        </w:rPr>
        <w:t>年一般公共预算项目支出全面开展绩效自评，共涉及项目</w:t>
      </w:r>
      <w:r>
        <w:rPr>
          <w:color w:val="auto"/>
          <w:kern w:val="0"/>
          <w:sz w:val="32"/>
          <w:szCs w:val="32"/>
          <w:u w:val="single"/>
        </w:rPr>
        <w:t>7</w:t>
      </w:r>
      <w:r>
        <w:rPr>
          <w:rFonts w:ascii="仿宋" w:hAnsi="仿宋" w:eastAsia="仿宋" w:cs="仿宋"/>
          <w:color w:val="auto"/>
          <w:kern w:val="0"/>
          <w:sz w:val="32"/>
          <w:szCs w:val="32"/>
        </w:rPr>
        <w:t>个，资金</w:t>
      </w:r>
      <w:r>
        <w:rPr>
          <w:rFonts w:eastAsia="Times New Roman"/>
          <w:color w:val="auto"/>
          <w:kern w:val="0"/>
          <w:sz w:val="32"/>
          <w:szCs w:val="32"/>
          <w:u w:val="single"/>
        </w:rPr>
        <w:t>4122.90</w:t>
      </w:r>
      <w:r>
        <w:rPr>
          <w:rFonts w:ascii="仿宋" w:hAnsi="仿宋" w:eastAsia="仿宋" w:cs="仿宋"/>
          <w:color w:val="auto"/>
          <w:kern w:val="0"/>
          <w:sz w:val="32"/>
          <w:szCs w:val="32"/>
        </w:rPr>
        <w:t>万元，占一般公共预算项目支出总额的</w:t>
      </w:r>
      <w:r>
        <w:rPr>
          <w:rFonts w:eastAsia="Times New Roman"/>
          <w:color w:val="auto"/>
          <w:kern w:val="0"/>
          <w:sz w:val="32"/>
          <w:szCs w:val="32"/>
        </w:rPr>
        <w:t>100</w:t>
      </w:r>
      <w:r>
        <w:rPr>
          <w:rFonts w:ascii="仿宋" w:hAnsi="仿宋" w:eastAsia="仿宋" w:cs="仿宋"/>
          <w:color w:val="auto"/>
          <w:kern w:val="0"/>
          <w:sz w:val="32"/>
          <w:szCs w:val="32"/>
        </w:rPr>
        <w:t>%；政府性基金预算项目</w:t>
      </w:r>
      <w:r>
        <w:rPr>
          <w:color w:val="auto"/>
          <w:kern w:val="0"/>
          <w:sz w:val="32"/>
          <w:szCs w:val="32"/>
          <w:u w:val="single"/>
        </w:rPr>
        <w:t>0</w:t>
      </w:r>
      <w:r>
        <w:rPr>
          <w:rFonts w:ascii="仿宋" w:hAnsi="仿宋" w:eastAsia="仿宋" w:cs="仿宋"/>
          <w:color w:val="auto"/>
          <w:kern w:val="0"/>
          <w:sz w:val="32"/>
          <w:szCs w:val="32"/>
        </w:rPr>
        <w:t>个，共涉及资金</w:t>
      </w:r>
      <w:r>
        <w:rPr>
          <w:rFonts w:eastAsia="Times New Roman"/>
          <w:color w:val="auto"/>
          <w:kern w:val="0"/>
          <w:sz w:val="32"/>
          <w:szCs w:val="32"/>
          <w:u w:val="single"/>
        </w:rPr>
        <w:t>0</w:t>
      </w:r>
      <w:r>
        <w:rPr>
          <w:rFonts w:ascii="仿宋" w:hAnsi="仿宋" w:eastAsia="仿宋" w:cs="仿宋"/>
          <w:color w:val="auto"/>
          <w:kern w:val="0"/>
          <w:sz w:val="32"/>
          <w:szCs w:val="32"/>
        </w:rPr>
        <w:t>万元，占政府性基金预算项目支出总额的</w:t>
      </w:r>
      <w:r>
        <w:rPr>
          <w:rFonts w:eastAsia="Times New Roman"/>
          <w:color w:val="auto"/>
          <w:kern w:val="0"/>
          <w:sz w:val="32"/>
          <w:szCs w:val="32"/>
        </w:rPr>
        <w:t>100</w:t>
      </w:r>
      <w:r>
        <w:rPr>
          <w:rFonts w:ascii="仿宋" w:hAnsi="仿宋" w:eastAsia="仿宋" w:cs="仿宋"/>
          <w:color w:val="auto"/>
          <w:kern w:val="0"/>
          <w:sz w:val="32"/>
          <w:szCs w:val="32"/>
        </w:rPr>
        <w:t>%</w:t>
      </w:r>
      <w:r>
        <w:rPr>
          <w:rFonts w:hint="eastAsia" w:ascii="仿宋" w:hAnsi="仿宋" w:eastAsia="仿宋" w:cs="仿宋"/>
          <w:color w:val="auto"/>
          <w:kern w:val="0"/>
          <w:sz w:val="32"/>
          <w:szCs w:val="32"/>
        </w:rPr>
        <w:t>。</w:t>
      </w:r>
    </w:p>
    <w:p w14:paraId="485FD393">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组织对“办案（业务）经费”、“信息系统运行维护经费”等</w:t>
      </w:r>
      <w:r>
        <w:rPr>
          <w:rFonts w:eastAsia="仿宋_GB2312"/>
          <w:color w:val="auto"/>
          <w:kern w:val="0"/>
          <w:sz w:val="32"/>
          <w:szCs w:val="32"/>
        </w:rPr>
        <w:t>2</w:t>
      </w:r>
      <w:r>
        <w:rPr>
          <w:rFonts w:hint="eastAsia" w:ascii="仿宋_GB2312" w:hAnsi="仿宋_GB2312" w:eastAsia="仿宋_GB2312" w:cs="仿宋_GB2312"/>
          <w:color w:val="auto"/>
          <w:kern w:val="0"/>
          <w:sz w:val="32"/>
          <w:szCs w:val="32"/>
        </w:rPr>
        <w:t>个项目开展了部门评价，涉及一般公共预算支出</w:t>
      </w:r>
      <w:r>
        <w:rPr>
          <w:color w:val="auto"/>
          <w:kern w:val="0"/>
          <w:sz w:val="32"/>
          <w:szCs w:val="32"/>
          <w:u w:val="single"/>
        </w:rPr>
        <w:t>2327</w:t>
      </w:r>
      <w:r>
        <w:rPr>
          <w:rFonts w:hint="eastAsia"/>
          <w:color w:val="auto"/>
          <w:kern w:val="0"/>
          <w:sz w:val="32"/>
          <w:szCs w:val="32"/>
          <w:u w:val="single"/>
        </w:rPr>
        <w:t>.</w:t>
      </w:r>
      <w:r>
        <w:rPr>
          <w:color w:val="auto"/>
          <w:kern w:val="0"/>
          <w:sz w:val="32"/>
          <w:szCs w:val="32"/>
          <w:u w:val="single"/>
        </w:rPr>
        <w:t>05</w:t>
      </w:r>
      <w:r>
        <w:rPr>
          <w:rFonts w:hint="eastAsia" w:ascii="仿宋_GB2312" w:hAnsi="仿宋_GB2312" w:eastAsia="仿宋_GB2312" w:cs="仿宋_GB2312"/>
          <w:color w:val="auto"/>
          <w:kern w:val="0"/>
          <w:sz w:val="32"/>
          <w:szCs w:val="32"/>
        </w:rPr>
        <w:t>万元，政府性基金支出</w:t>
      </w:r>
      <w:r>
        <w:rPr>
          <w:rFonts w:eastAsia="仿宋_GB2312"/>
          <w:color w:val="auto"/>
          <w:kern w:val="0"/>
          <w:sz w:val="32"/>
          <w:szCs w:val="32"/>
          <w:u w:val="single"/>
        </w:rPr>
        <w:t>0</w:t>
      </w:r>
      <w:r>
        <w:rPr>
          <w:rFonts w:hint="eastAsia" w:ascii="仿宋_GB2312" w:hAnsi="仿宋_GB2312" w:eastAsia="仿宋_GB2312" w:cs="仿宋_GB2312"/>
          <w:color w:val="auto"/>
          <w:kern w:val="0"/>
          <w:sz w:val="32"/>
          <w:szCs w:val="32"/>
        </w:rPr>
        <w:t>万元。其中，对“办案（业务）经费”、“信息系统运行维护经费”等项目分别委托相关第三方机构开展绩效评价。从评价情况看，以上项目基本完成了检察机关办案装备及信息系统运行维护工作，为人民检察院依法履行法律监督职能，充分做好“四大检察”“十大业务”，发挥较好社会效果和法律效果提供了坚实保障。</w:t>
      </w:r>
    </w:p>
    <w:p w14:paraId="2662A0E7">
      <w:pPr>
        <w:pStyle w:val="23"/>
        <w:widowControl/>
        <w:spacing w:line="600" w:lineRule="exact"/>
        <w:ind w:firstLine="640" w:firstLineChars="200"/>
        <w:rPr>
          <w:rFonts w:ascii="楷体_GB2312" w:hAnsi="楷体" w:eastAsia="楷体_GB2312" w:cs="楷体"/>
          <w:bCs/>
          <w:color w:val="auto"/>
          <w:kern w:val="0"/>
          <w:sz w:val="32"/>
          <w:szCs w:val="32"/>
        </w:rPr>
      </w:pPr>
      <w:r>
        <w:rPr>
          <w:rFonts w:ascii="楷体_GB2312" w:hAnsi="楷体" w:eastAsia="楷体_GB2312" w:cs="楷体"/>
          <w:bCs/>
          <w:color w:val="auto"/>
          <w:kern w:val="0"/>
          <w:sz w:val="32"/>
          <w:szCs w:val="32"/>
        </w:rPr>
        <w:t>（二）单位决算中项目绩效自评结果</w:t>
      </w:r>
    </w:p>
    <w:p w14:paraId="3AAAFCBC">
      <w:pPr>
        <w:pStyle w:val="23"/>
        <w:widowControl/>
        <w:spacing w:line="600" w:lineRule="exact"/>
        <w:ind w:firstLine="640" w:firstLineChars="200"/>
        <w:rPr>
          <w:rFonts w:eastAsia="Times New Roman"/>
          <w:color w:val="auto"/>
          <w:kern w:val="0"/>
          <w:sz w:val="24"/>
        </w:rPr>
      </w:pPr>
      <w:r>
        <w:rPr>
          <w:rFonts w:hint="eastAsia" w:ascii="仿宋_GB2312" w:hAnsi="仿宋_GB2312" w:eastAsia="仿宋_GB2312" w:cs="仿宋_GB2312"/>
          <w:color w:val="auto"/>
          <w:kern w:val="0"/>
          <w:sz w:val="32"/>
          <w:szCs w:val="32"/>
        </w:rPr>
        <w:t>内蒙古自治区人民检察院（本级）</w:t>
      </w:r>
      <w:r>
        <w:rPr>
          <w:rFonts w:eastAsia="Times New Roman"/>
          <w:color w:val="auto"/>
          <w:kern w:val="0"/>
          <w:sz w:val="32"/>
          <w:szCs w:val="32"/>
        </w:rPr>
        <w:t>2025</w:t>
      </w:r>
      <w:r>
        <w:rPr>
          <w:rFonts w:hint="eastAsia" w:ascii="仿宋_GB2312" w:hAnsi="仿宋_GB2312" w:eastAsia="仿宋_GB2312" w:cs="仿宋_GB2312"/>
          <w:color w:val="auto"/>
          <w:kern w:val="0"/>
          <w:sz w:val="32"/>
          <w:szCs w:val="32"/>
        </w:rPr>
        <w:t>年度在决算中反映</w:t>
      </w:r>
      <w:r>
        <w:rPr>
          <w:color w:val="auto"/>
          <w:kern w:val="0"/>
          <w:sz w:val="32"/>
          <w:szCs w:val="32"/>
          <w:u w:val="single"/>
        </w:rPr>
        <w:t>7</w:t>
      </w:r>
      <w:r>
        <w:rPr>
          <w:rFonts w:hint="eastAsia" w:ascii="仿宋_GB2312" w:hAnsi="仿宋_GB2312" w:eastAsia="仿宋_GB2312" w:cs="仿宋_GB2312"/>
          <w:color w:val="auto"/>
          <w:kern w:val="0"/>
          <w:sz w:val="32"/>
          <w:szCs w:val="32"/>
        </w:rPr>
        <w:t>个一般公共预算项目</w:t>
      </w:r>
      <w:r>
        <w:rPr>
          <w:rFonts w:ascii="仿宋" w:hAnsi="仿宋" w:eastAsia="仿宋" w:cs="仿宋"/>
          <w:color w:val="auto"/>
          <w:kern w:val="0"/>
          <w:sz w:val="32"/>
          <w:szCs w:val="32"/>
        </w:rPr>
        <w:t>，</w:t>
      </w:r>
      <w:r>
        <w:rPr>
          <w:rFonts w:hint="eastAsia" w:ascii="仿宋_GB2312" w:hAnsi="仿宋_GB2312" w:eastAsia="仿宋_GB2312" w:cs="仿宋_GB2312"/>
          <w:color w:val="auto"/>
          <w:kern w:val="0"/>
          <w:sz w:val="32"/>
          <w:szCs w:val="32"/>
        </w:rPr>
        <w:t>以及</w:t>
      </w:r>
      <w:r>
        <w:rPr>
          <w:color w:val="auto"/>
          <w:kern w:val="0"/>
          <w:sz w:val="32"/>
          <w:szCs w:val="32"/>
          <w:u w:val="single"/>
        </w:rPr>
        <w:t>0</w:t>
      </w:r>
      <w:r>
        <w:rPr>
          <w:rFonts w:hint="eastAsia" w:ascii="仿宋_GB2312" w:hAnsi="仿宋_GB2312" w:eastAsia="仿宋_GB2312" w:cs="仿宋_GB2312"/>
          <w:color w:val="auto"/>
          <w:kern w:val="0"/>
          <w:sz w:val="32"/>
          <w:szCs w:val="32"/>
        </w:rPr>
        <w:t>个政府性基金项目共</w:t>
      </w:r>
      <w:r>
        <w:rPr>
          <w:color w:val="auto"/>
          <w:kern w:val="0"/>
          <w:sz w:val="32"/>
          <w:szCs w:val="32"/>
          <w:u w:val="single"/>
        </w:rPr>
        <w:t>7</w:t>
      </w:r>
      <w:r>
        <w:rPr>
          <w:rFonts w:hint="eastAsia" w:ascii="仿宋_GB2312" w:hAnsi="仿宋_GB2312" w:eastAsia="仿宋_GB2312" w:cs="仿宋_GB2312"/>
          <w:color w:val="auto"/>
          <w:kern w:val="0"/>
          <w:sz w:val="32"/>
          <w:szCs w:val="32"/>
        </w:rPr>
        <w:t>个项目的绩效自评结果。</w:t>
      </w:r>
    </w:p>
    <w:p w14:paraId="29C8F9CF">
      <w:pPr>
        <w:topLinePunct/>
        <w:adjustRightInd w:val="0"/>
        <w:snapToGrid w:val="0"/>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1</w:t>
      </w:r>
      <w:r>
        <w:rPr>
          <w:rFonts w:hint="eastAsia" w:ascii="仿宋_GB2312" w:hAnsi="仿宋_GB2312" w:eastAsia="仿宋_GB2312" w:cs="仿宋_GB2312"/>
          <w:b/>
          <w:color w:val="auto"/>
          <w:kern w:val="0"/>
          <w:sz w:val="32"/>
          <w:szCs w:val="32"/>
        </w:rPr>
        <w:t xml:space="preserve">. </w:t>
      </w:r>
      <w:r>
        <w:rPr>
          <w:rFonts w:hint="eastAsia" w:ascii="仿宋_GB2312" w:hAnsi="仿宋_GB2312" w:eastAsia="仿宋_GB2312" w:cs="仿宋_GB2312"/>
          <w:b/>
          <w:color w:val="auto"/>
          <w:sz w:val="32"/>
          <w:szCs w:val="32"/>
        </w:rPr>
        <w:t>国家赔偿资金项目</w:t>
      </w:r>
      <w:r>
        <w:rPr>
          <w:rFonts w:hint="eastAsia" w:ascii="仿宋_GB2312" w:hAnsi="仿宋_GB2312" w:eastAsia="仿宋_GB2312" w:cs="仿宋_GB2312"/>
          <w:b/>
          <w:color w:val="auto"/>
          <w:kern w:val="0"/>
          <w:sz w:val="32"/>
          <w:szCs w:val="32"/>
        </w:rPr>
        <w:t>自评综述：</w:t>
      </w:r>
      <w:r>
        <w:rPr>
          <w:rFonts w:hint="eastAsia" w:ascii="仿宋_GB2312" w:hAnsi="仿宋_GB2312" w:eastAsia="仿宋_GB2312" w:cs="仿宋_GB2312"/>
          <w:color w:val="auto"/>
          <w:kern w:val="0"/>
          <w:sz w:val="32"/>
          <w:szCs w:val="32"/>
        </w:rPr>
        <w:t>根据年初设定的绩效目标，项目自评得分</w:t>
      </w:r>
      <w:r>
        <w:rPr>
          <w:color w:val="auto"/>
          <w:kern w:val="0"/>
          <w:sz w:val="32"/>
          <w:szCs w:val="32"/>
          <w:u w:val="single"/>
        </w:rPr>
        <w:t>100</w:t>
      </w:r>
      <w:r>
        <w:rPr>
          <w:rFonts w:hint="eastAsia" w:ascii="仿宋_GB2312" w:hAnsi="仿宋_GB2312" w:eastAsia="仿宋_GB2312" w:cs="仿宋_GB2312"/>
          <w:color w:val="auto"/>
          <w:kern w:val="0"/>
          <w:sz w:val="32"/>
          <w:szCs w:val="32"/>
        </w:rPr>
        <w:t>分。全年预算数为</w:t>
      </w:r>
      <w:r>
        <w:rPr>
          <w:color w:val="auto"/>
          <w:kern w:val="0"/>
          <w:sz w:val="32"/>
          <w:szCs w:val="32"/>
          <w:u w:val="single"/>
        </w:rPr>
        <w:t>33</w:t>
      </w:r>
      <w:r>
        <w:rPr>
          <w:rFonts w:hint="eastAsia"/>
          <w:color w:val="auto"/>
          <w:kern w:val="0"/>
          <w:sz w:val="32"/>
          <w:szCs w:val="32"/>
          <w:u w:val="single"/>
        </w:rPr>
        <w:t>.</w:t>
      </w:r>
      <w:r>
        <w:rPr>
          <w:color w:val="auto"/>
          <w:kern w:val="0"/>
          <w:sz w:val="32"/>
          <w:szCs w:val="32"/>
          <w:u w:val="single"/>
        </w:rPr>
        <w:t>67</w:t>
      </w:r>
      <w:r>
        <w:rPr>
          <w:rFonts w:hint="eastAsia" w:ascii="仿宋_GB2312" w:hAnsi="仿宋_GB2312" w:eastAsia="仿宋_GB2312" w:cs="仿宋_GB2312"/>
          <w:color w:val="auto"/>
          <w:kern w:val="0"/>
          <w:sz w:val="32"/>
          <w:szCs w:val="32"/>
        </w:rPr>
        <w:t>万元，执行数为</w:t>
      </w:r>
      <w:r>
        <w:rPr>
          <w:color w:val="auto"/>
          <w:kern w:val="0"/>
          <w:sz w:val="32"/>
          <w:szCs w:val="32"/>
          <w:u w:val="single"/>
        </w:rPr>
        <w:t>33</w:t>
      </w:r>
      <w:r>
        <w:rPr>
          <w:rFonts w:hint="eastAsia"/>
          <w:color w:val="auto"/>
          <w:kern w:val="0"/>
          <w:sz w:val="32"/>
          <w:szCs w:val="32"/>
          <w:u w:val="single"/>
        </w:rPr>
        <w:t>.</w:t>
      </w:r>
      <w:r>
        <w:rPr>
          <w:color w:val="auto"/>
          <w:kern w:val="0"/>
          <w:sz w:val="32"/>
          <w:szCs w:val="32"/>
          <w:u w:val="single"/>
        </w:rPr>
        <w:t>67</w:t>
      </w:r>
      <w:r>
        <w:rPr>
          <w:rFonts w:hint="eastAsia" w:ascii="仿宋_GB2312" w:hAnsi="仿宋_GB2312" w:eastAsia="仿宋_GB2312" w:cs="仿宋_GB2312"/>
          <w:color w:val="auto"/>
          <w:kern w:val="0"/>
          <w:sz w:val="32"/>
          <w:szCs w:val="32"/>
        </w:rPr>
        <w:t>万元，完成预算的</w:t>
      </w:r>
      <w:r>
        <w:rPr>
          <w:color w:val="auto"/>
          <w:kern w:val="0"/>
          <w:sz w:val="32"/>
          <w:szCs w:val="32"/>
          <w:u w:val="single"/>
        </w:rPr>
        <w:t>100</w:t>
      </w:r>
      <w:r>
        <w:rPr>
          <w:rFonts w:ascii="仿宋" w:hAnsi="仿宋" w:eastAsia="仿宋" w:cs="仿宋"/>
          <w:color w:val="auto"/>
          <w:kern w:val="0"/>
          <w:sz w:val="32"/>
          <w:szCs w:val="32"/>
        </w:rPr>
        <w:t>%。</w:t>
      </w:r>
      <w:r>
        <w:rPr>
          <w:rFonts w:hint="eastAsia" w:ascii="仿宋_GB2312" w:hAnsi="仿宋_GB2312" w:eastAsia="仿宋_GB2312" w:cs="仿宋_GB2312"/>
          <w:color w:val="auto"/>
          <w:sz w:val="32"/>
          <w:szCs w:val="32"/>
        </w:rPr>
        <w:t>项目绩效目标完成情况：</w:t>
      </w:r>
      <w:r>
        <w:rPr>
          <w:rFonts w:eastAsia="仿宋_GB2312"/>
          <w:color w:val="auto"/>
          <w:sz w:val="32"/>
          <w:szCs w:val="32"/>
        </w:rPr>
        <w:t>2025</w:t>
      </w:r>
      <w:r>
        <w:rPr>
          <w:rFonts w:hint="eastAsia" w:eastAsia="仿宋_GB2312" w:cs="仿宋_GB2312"/>
          <w:color w:val="auto"/>
          <w:sz w:val="32"/>
          <w:szCs w:val="32"/>
        </w:rPr>
        <w:t>年度国家赔偿资金项目实际完成情况良好，各项指标全面达成预期</w:t>
      </w:r>
      <w:r>
        <w:rPr>
          <w:rFonts w:hint="eastAsia" w:ascii="仿宋_GB2312" w:hAnsi="仿宋_GB2312" w:eastAsia="仿宋_GB2312" w:cs="仿宋_GB2312"/>
          <w:color w:val="auto"/>
          <w:sz w:val="32"/>
          <w:szCs w:val="32"/>
        </w:rPr>
        <w:t>目标。项目依据相关法规及函件要求，完成了</w:t>
      </w:r>
      <w:r>
        <w:rPr>
          <w:rFonts w:eastAsia="仿宋_GB2312"/>
          <w:color w:val="auto"/>
          <w:sz w:val="32"/>
          <w:szCs w:val="32"/>
        </w:rPr>
        <w:t>1</w:t>
      </w:r>
      <w:r>
        <w:rPr>
          <w:rFonts w:hint="eastAsia" w:ascii="仿宋_GB2312" w:hAnsi="仿宋_GB2312" w:eastAsia="仿宋_GB2312" w:cs="仿宋_GB2312"/>
          <w:color w:val="auto"/>
          <w:sz w:val="32"/>
          <w:szCs w:val="32"/>
        </w:rPr>
        <w:t>件国家赔偿案件</w:t>
      </w:r>
      <w:r>
        <w:rPr>
          <w:rFonts w:hint="eastAsia" w:eastAsia="仿宋_GB2312" w:cs="仿宋_GB2312"/>
          <w:color w:val="auto"/>
          <w:sz w:val="32"/>
          <w:szCs w:val="32"/>
        </w:rPr>
        <w:t>的处理，案件处理质量符合法律规定标准，赔偿总成本及单位平均赔偿成本均严格执行预算标准；国家赔偿处理及赔偿请求人领取赔偿金均及时完成；满足了赔偿请求人精神抚慰需求，且赔偿请求人满意度达到</w:t>
      </w:r>
      <w:r>
        <w:rPr>
          <w:rFonts w:eastAsia="仿宋_GB2312"/>
          <w:color w:val="auto"/>
          <w:sz w:val="32"/>
          <w:szCs w:val="32"/>
        </w:rPr>
        <w:t>90</w:t>
      </w:r>
      <w:r>
        <w:rPr>
          <w:rFonts w:hint="eastAsia" w:eastAsia="仿宋_GB2312" w:cs="仿宋_GB2312"/>
          <w:color w:val="auto"/>
          <w:sz w:val="32"/>
          <w:szCs w:val="32"/>
        </w:rPr>
        <w:t>%的预期标准。总体而言，项目在案件处理、资金使用、社会效益及服务对象满意度等方面均圆满达成年度目标</w:t>
      </w:r>
      <w:r>
        <w:rPr>
          <w:rFonts w:ascii="仿宋" w:hAnsi="仿宋" w:eastAsia="仿宋" w:cs="仿宋"/>
          <w:color w:val="auto"/>
          <w:kern w:val="0"/>
          <w:sz w:val="32"/>
          <w:szCs w:val="32"/>
        </w:rPr>
        <w:t>。</w:t>
      </w:r>
      <w:r>
        <w:rPr>
          <w:rFonts w:hint="eastAsia" w:ascii="仿宋_GB2312" w:hAnsi="仿宋_GB2312" w:eastAsia="仿宋_GB2312" w:cs="仿宋_GB2312"/>
          <w:color w:val="auto"/>
          <w:kern w:val="0"/>
          <w:sz w:val="32"/>
          <w:szCs w:val="32"/>
        </w:rPr>
        <w:t>发现的主要问题及原因：</w:t>
      </w:r>
      <w:r>
        <w:rPr>
          <w:rFonts w:hint="eastAsia" w:ascii="仿宋_GB2312" w:hAnsi="仿宋_GB2312" w:eastAsia="仿宋_GB2312" w:cs="仿宋_GB2312"/>
          <w:color w:val="auto"/>
          <w:sz w:val="32"/>
          <w:szCs w:val="32"/>
        </w:rPr>
        <w:t>本项目严格按照既定绩效目标推进，各项产出、效益及满意度指标均按计划顺利完成，未发生任何偏离预期绩效</w:t>
      </w:r>
      <w:r>
        <w:rPr>
          <w:rFonts w:hint="eastAsia" w:eastAsia="仿宋_GB2312" w:cs="仿宋_GB2312"/>
          <w:color w:val="auto"/>
          <w:sz w:val="32"/>
          <w:szCs w:val="32"/>
        </w:rPr>
        <w:t>目标的情况。从执行过程到最终成效，均实现了对绩效目标的高度契合，各项数据与计划一致，展现出良好的目标达成度和执行效果</w:t>
      </w:r>
      <w:r>
        <w:rPr>
          <w:rFonts w:ascii="仿宋" w:hAnsi="仿宋" w:eastAsia="仿宋" w:cs="仿宋"/>
          <w:color w:val="auto"/>
          <w:kern w:val="0"/>
          <w:sz w:val="32"/>
          <w:szCs w:val="32"/>
        </w:rPr>
        <w:t>。</w:t>
      </w:r>
      <w:r>
        <w:rPr>
          <w:rFonts w:hint="eastAsia" w:ascii="仿宋_GB2312" w:hAnsi="仿宋_GB2312" w:eastAsia="仿宋_GB2312" w:cs="仿宋_GB2312"/>
          <w:color w:val="auto"/>
          <w:kern w:val="0"/>
          <w:sz w:val="32"/>
          <w:szCs w:val="32"/>
        </w:rPr>
        <w:t>下一步改进措施：</w:t>
      </w:r>
      <w:r>
        <w:rPr>
          <w:rFonts w:hint="eastAsia" w:ascii="仿宋_GB2312" w:hAnsi="仿宋_GB2312" w:eastAsia="仿宋_GB2312" w:cs="仿宋_GB2312"/>
          <w:color w:val="auto"/>
          <w:sz w:val="32"/>
          <w:szCs w:val="32"/>
        </w:rPr>
        <w:t>虽然本项目本年度的绩效目标已全面达成，但仍需从以下方面持续改进：一是鉴于国家赔偿项目的特殊性，下一步将加强与业务部门的联动，探索建立更为科学、精准的赔偿资金申报机制，确保资金能更加迅速到位。二是项目立项、实施不存在问题，本项目在项目立项时严格按照有关要求立项，项目组织实施按全年工作任务进行分类，专人负责，集体分工协作。严格按照年初确定的工作目标，明确组织实施措施和策略，确保项目正常有序地开展。</w:t>
      </w:r>
    </w:p>
    <w:p w14:paraId="1B916568">
      <w:pPr>
        <w:topLinePunct/>
        <w:adjustRightInd w:val="0"/>
        <w:snapToGrid w:val="0"/>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2</w:t>
      </w:r>
      <w:r>
        <w:rPr>
          <w:rFonts w:hint="eastAsia" w:ascii="仿宋_GB2312" w:hAnsi="仿宋_GB2312" w:eastAsia="仿宋_GB2312" w:cs="仿宋_GB2312"/>
          <w:b/>
          <w:color w:val="auto"/>
          <w:kern w:val="0"/>
          <w:sz w:val="32"/>
          <w:szCs w:val="32"/>
        </w:rPr>
        <w:t xml:space="preserve">. </w:t>
      </w:r>
      <w:r>
        <w:rPr>
          <w:rFonts w:hint="eastAsia" w:ascii="仿宋_GB2312" w:hAnsi="仿宋_GB2312" w:eastAsia="仿宋_GB2312" w:cs="仿宋_GB2312"/>
          <w:b/>
          <w:color w:val="auto"/>
          <w:sz w:val="32"/>
          <w:szCs w:val="32"/>
        </w:rPr>
        <w:t>检察官培训费</w:t>
      </w:r>
      <w:r>
        <w:rPr>
          <w:rFonts w:hint="eastAsia" w:ascii="仿宋_GB2312" w:hAnsi="仿宋_GB2312" w:eastAsia="仿宋_GB2312" w:cs="仿宋_GB2312"/>
          <w:b/>
          <w:color w:val="auto"/>
          <w:kern w:val="0"/>
          <w:sz w:val="32"/>
          <w:szCs w:val="32"/>
        </w:rPr>
        <w:t>项目自评综述：</w:t>
      </w:r>
      <w:r>
        <w:rPr>
          <w:rFonts w:hint="eastAsia" w:ascii="仿宋_GB2312" w:hAnsi="仿宋_GB2312" w:eastAsia="仿宋_GB2312" w:cs="仿宋_GB2312"/>
          <w:color w:val="auto"/>
          <w:kern w:val="0"/>
          <w:sz w:val="32"/>
          <w:szCs w:val="32"/>
        </w:rPr>
        <w:t>根据年初设定的绩效目标，项目自评得分</w:t>
      </w:r>
      <w:r>
        <w:rPr>
          <w:color w:val="auto"/>
          <w:kern w:val="0"/>
          <w:sz w:val="32"/>
          <w:szCs w:val="32"/>
          <w:u w:val="single"/>
        </w:rPr>
        <w:t>100</w:t>
      </w:r>
      <w:r>
        <w:rPr>
          <w:rFonts w:hint="eastAsia" w:ascii="仿宋_GB2312" w:hAnsi="仿宋_GB2312" w:eastAsia="仿宋_GB2312" w:cs="仿宋_GB2312"/>
          <w:color w:val="auto"/>
          <w:kern w:val="0"/>
          <w:sz w:val="32"/>
          <w:szCs w:val="32"/>
        </w:rPr>
        <w:t>分。全年预算数为</w:t>
      </w:r>
      <w:r>
        <w:rPr>
          <w:color w:val="auto"/>
          <w:kern w:val="0"/>
          <w:sz w:val="32"/>
          <w:szCs w:val="32"/>
          <w:u w:val="single"/>
        </w:rPr>
        <w:t>252</w:t>
      </w:r>
      <w:r>
        <w:rPr>
          <w:rFonts w:hint="eastAsia" w:ascii="仿宋_GB2312" w:hAnsi="仿宋_GB2312" w:eastAsia="仿宋_GB2312" w:cs="仿宋_GB2312"/>
          <w:color w:val="auto"/>
          <w:kern w:val="0"/>
          <w:sz w:val="32"/>
          <w:szCs w:val="32"/>
        </w:rPr>
        <w:t>万元，执行数为</w:t>
      </w:r>
      <w:r>
        <w:rPr>
          <w:color w:val="auto"/>
          <w:kern w:val="0"/>
          <w:sz w:val="32"/>
          <w:szCs w:val="32"/>
          <w:u w:val="single"/>
        </w:rPr>
        <w:t>252</w:t>
      </w:r>
      <w:r>
        <w:rPr>
          <w:rFonts w:hint="eastAsia" w:ascii="仿宋_GB2312" w:hAnsi="仿宋_GB2312" w:eastAsia="仿宋_GB2312" w:cs="仿宋_GB2312"/>
          <w:color w:val="auto"/>
          <w:kern w:val="0"/>
          <w:sz w:val="32"/>
          <w:szCs w:val="32"/>
        </w:rPr>
        <w:t>万元，完成预算的</w:t>
      </w:r>
      <w:r>
        <w:rPr>
          <w:color w:val="auto"/>
          <w:kern w:val="0"/>
          <w:sz w:val="32"/>
          <w:szCs w:val="32"/>
          <w:u w:val="single"/>
        </w:rPr>
        <w:t>100</w:t>
      </w:r>
      <w:r>
        <w:rPr>
          <w:rFonts w:hint="eastAsia"/>
          <w:color w:val="auto"/>
          <w:kern w:val="0"/>
          <w:sz w:val="32"/>
          <w:szCs w:val="32"/>
          <w:u w:val="single"/>
        </w:rPr>
        <w:t>%</w:t>
      </w:r>
      <w:r>
        <w:rPr>
          <w:rFonts w:hint="eastAsia" w:ascii="仿宋_GB2312" w:hAnsi="仿宋_GB2312" w:eastAsia="仿宋_GB2312" w:cs="仿宋_GB2312"/>
          <w:color w:val="auto"/>
          <w:kern w:val="0"/>
          <w:sz w:val="32"/>
          <w:szCs w:val="32"/>
        </w:rPr>
        <w:t>。项目绩效目标完成情况：</w:t>
      </w:r>
      <w:r>
        <w:rPr>
          <w:color w:val="auto"/>
          <w:kern w:val="0"/>
          <w:sz w:val="32"/>
          <w:szCs w:val="32"/>
        </w:rPr>
        <w:t>2025</w:t>
      </w:r>
      <w:r>
        <w:rPr>
          <w:rFonts w:hint="eastAsia" w:ascii="仿宋_GB2312" w:hAnsi="仿宋_GB2312" w:eastAsia="仿宋_GB2312" w:cs="仿宋_GB2312"/>
          <w:color w:val="auto"/>
          <w:sz w:val="32"/>
          <w:szCs w:val="32"/>
        </w:rPr>
        <w:t>年度，检察官培训费项目全面贯彻落实年度培训计划，高标准、高质量地完成了各项预期目标。项目资金执行率为</w:t>
      </w:r>
      <w:r>
        <w:rPr>
          <w:color w:val="auto"/>
          <w:kern w:val="0"/>
          <w:sz w:val="32"/>
          <w:szCs w:val="32"/>
        </w:rPr>
        <w:t>100</w:t>
      </w:r>
      <w:r>
        <w:rPr>
          <w:rFonts w:hint="eastAsia"/>
          <w:color w:val="auto"/>
          <w:kern w:val="0"/>
          <w:sz w:val="32"/>
          <w:szCs w:val="32"/>
        </w:rPr>
        <w:t>%</w:t>
      </w:r>
      <w:r>
        <w:rPr>
          <w:rFonts w:hint="eastAsia" w:ascii="仿宋_GB2312" w:hAnsi="仿宋_GB2312" w:eastAsia="仿宋_GB2312" w:cs="仿宋_GB2312"/>
          <w:color w:val="auto"/>
          <w:sz w:val="32"/>
          <w:szCs w:val="32"/>
        </w:rPr>
        <w:t>，实现了精细化、规范化管理。全年共举办培训班次</w:t>
      </w:r>
      <w:r>
        <w:rPr>
          <w:color w:val="auto"/>
          <w:kern w:val="0"/>
          <w:sz w:val="32"/>
          <w:szCs w:val="32"/>
        </w:rPr>
        <w:t>51</w:t>
      </w:r>
      <w:r>
        <w:rPr>
          <w:rFonts w:hint="eastAsia" w:ascii="仿宋_GB2312" w:hAnsi="仿宋_GB2312" w:eastAsia="仿宋_GB2312" w:cs="仿宋_GB2312"/>
          <w:color w:val="auto"/>
          <w:sz w:val="32"/>
          <w:szCs w:val="32"/>
        </w:rPr>
        <w:t>次、开发培训课程</w:t>
      </w:r>
      <w:r>
        <w:rPr>
          <w:color w:val="auto"/>
          <w:kern w:val="0"/>
          <w:sz w:val="32"/>
          <w:szCs w:val="32"/>
        </w:rPr>
        <w:t>51</w:t>
      </w:r>
      <w:r>
        <w:rPr>
          <w:rFonts w:hint="eastAsia" w:ascii="仿宋_GB2312" w:hAnsi="仿宋_GB2312" w:eastAsia="仿宋_GB2312" w:cs="仿宋_GB2312"/>
          <w:color w:val="auto"/>
          <w:sz w:val="32"/>
          <w:szCs w:val="32"/>
        </w:rPr>
        <w:t>个，远超年度指标；培训人次达</w:t>
      </w:r>
      <w:r>
        <w:rPr>
          <w:color w:val="auto"/>
          <w:kern w:val="0"/>
          <w:sz w:val="32"/>
          <w:szCs w:val="32"/>
        </w:rPr>
        <w:t>500</w:t>
      </w:r>
      <w:r>
        <w:rPr>
          <w:rFonts w:hint="eastAsia" w:ascii="仿宋_GB2312" w:hAnsi="仿宋_GB2312" w:eastAsia="仿宋_GB2312" w:cs="仿宋_GB2312"/>
          <w:color w:val="auto"/>
          <w:sz w:val="32"/>
          <w:szCs w:val="32"/>
        </w:rPr>
        <w:t>人、培训天数满</w:t>
      </w:r>
      <w:r>
        <w:rPr>
          <w:color w:val="auto"/>
          <w:kern w:val="0"/>
          <w:sz w:val="32"/>
          <w:szCs w:val="32"/>
        </w:rPr>
        <w:t>50</w:t>
      </w:r>
      <w:r>
        <w:rPr>
          <w:rFonts w:hint="eastAsia" w:ascii="仿宋_GB2312" w:hAnsi="仿宋_GB2312" w:eastAsia="仿宋_GB2312" w:cs="仿宋_GB2312"/>
          <w:color w:val="auto"/>
          <w:sz w:val="32"/>
          <w:szCs w:val="32"/>
        </w:rPr>
        <w:t>天，均圆满完成计划；培训合格率、签到到位率及计划开办率均达</w:t>
      </w:r>
      <w:r>
        <w:rPr>
          <w:color w:val="auto"/>
          <w:kern w:val="0"/>
          <w:sz w:val="32"/>
          <w:szCs w:val="32"/>
        </w:rPr>
        <w:t>95</w:t>
      </w:r>
      <w:r>
        <w:rPr>
          <w:rFonts w:hint="eastAsia"/>
          <w:color w:val="auto"/>
          <w:kern w:val="0"/>
          <w:sz w:val="32"/>
          <w:szCs w:val="32"/>
        </w:rPr>
        <w:t>%</w:t>
      </w:r>
      <w:r>
        <w:rPr>
          <w:rFonts w:hint="eastAsia" w:ascii="仿宋_GB2312" w:hAnsi="仿宋_GB2312" w:eastAsia="仿宋_GB2312" w:cs="仿宋_GB2312"/>
          <w:color w:val="auto"/>
          <w:sz w:val="32"/>
          <w:szCs w:val="32"/>
        </w:rPr>
        <w:t>以上，培训按期于</w:t>
      </w:r>
      <w:r>
        <w:rPr>
          <w:color w:val="auto"/>
          <w:kern w:val="0"/>
          <w:sz w:val="32"/>
          <w:szCs w:val="32"/>
        </w:rPr>
        <w:t>11</w:t>
      </w:r>
      <w:r>
        <w:rPr>
          <w:rFonts w:hint="eastAsia" w:ascii="仿宋_GB2312" w:hAnsi="仿宋_GB2312" w:eastAsia="仿宋_GB2312" w:cs="仿宋_GB2312"/>
          <w:color w:val="auto"/>
          <w:sz w:val="32"/>
          <w:szCs w:val="32"/>
        </w:rPr>
        <w:t>月份前全部完成。成本控制有效，参训人员综合素能得到显著提升，培训满意度达</w:t>
      </w:r>
      <w:r>
        <w:rPr>
          <w:color w:val="auto"/>
          <w:kern w:val="0"/>
          <w:sz w:val="32"/>
          <w:szCs w:val="32"/>
        </w:rPr>
        <w:t>96</w:t>
      </w:r>
      <w:r>
        <w:rPr>
          <w:rFonts w:hint="eastAsia"/>
          <w:color w:val="auto"/>
          <w:kern w:val="0"/>
          <w:sz w:val="32"/>
          <w:szCs w:val="32"/>
        </w:rPr>
        <w:t>%</w:t>
      </w:r>
      <w:r>
        <w:rPr>
          <w:rFonts w:hint="eastAsia" w:ascii="仿宋_GB2312" w:hAnsi="仿宋_GB2312" w:eastAsia="仿宋_GB2312" w:cs="仿宋_GB2312"/>
          <w:color w:val="auto"/>
          <w:sz w:val="32"/>
          <w:szCs w:val="32"/>
        </w:rPr>
        <w:t>，全面达成年度绩效目标</w:t>
      </w:r>
      <w:r>
        <w:rPr>
          <w:rFonts w:hint="eastAsia" w:ascii="仿宋_GB2312" w:hAnsi="仿宋_GB2312" w:eastAsia="仿宋_GB2312" w:cs="仿宋_GB2312"/>
          <w:color w:val="auto"/>
          <w:kern w:val="0"/>
          <w:sz w:val="32"/>
          <w:szCs w:val="32"/>
        </w:rPr>
        <w:t>。发现的主要问题及原因：</w:t>
      </w:r>
      <w:r>
        <w:rPr>
          <w:rFonts w:hint="eastAsia" w:ascii="仿宋_GB2312" w:hAnsi="仿宋_GB2312" w:eastAsia="仿宋_GB2312" w:cs="仿宋_GB2312"/>
          <w:color w:val="auto"/>
          <w:sz w:val="32"/>
          <w:szCs w:val="32"/>
        </w:rPr>
        <w:t>“培训班次”和“培训课程数量”两项指标显著优于预期绩效目标（目标值均为</w:t>
      </w:r>
      <w:r>
        <w:rPr>
          <w:color w:val="auto"/>
          <w:kern w:val="0"/>
          <w:sz w:val="32"/>
          <w:szCs w:val="32"/>
        </w:rPr>
        <w:t>15</w:t>
      </w:r>
      <w:r>
        <w:rPr>
          <w:rFonts w:hint="eastAsia" w:ascii="仿宋_GB2312" w:hAnsi="仿宋_GB2312" w:eastAsia="仿宋_GB2312" w:cs="仿宋_GB2312"/>
          <w:color w:val="auto"/>
          <w:sz w:val="32"/>
          <w:szCs w:val="32"/>
        </w:rPr>
        <w:t>，实际完成值均为</w:t>
      </w:r>
      <w:r>
        <w:rPr>
          <w:color w:val="auto"/>
          <w:kern w:val="0"/>
          <w:sz w:val="32"/>
          <w:szCs w:val="32"/>
        </w:rPr>
        <w:t>51</w:t>
      </w:r>
      <w:r>
        <w:rPr>
          <w:rFonts w:hint="eastAsia" w:ascii="仿宋_GB2312" w:hAnsi="仿宋_GB2312" w:eastAsia="仿宋_GB2312" w:cs="仿宋_GB2312"/>
          <w:color w:val="auto"/>
          <w:sz w:val="32"/>
          <w:szCs w:val="32"/>
        </w:rPr>
        <w:t>）。主要原因是：第一，为积极响应最高检关于“高质量检察履职”的新要求及新法律法规的出台，临时</w:t>
      </w:r>
      <w:r>
        <w:rPr>
          <w:rFonts w:hint="eastAsia" w:ascii="仿宋_GB2312" w:hAnsi="仿宋_GB2312" w:eastAsia="仿宋_GB2312" w:cs="仿宋_GB2312"/>
          <w:color w:val="auto"/>
          <w:sz w:val="32"/>
          <w:szCs w:val="32"/>
          <w:lang w:eastAsia="zh-CN"/>
        </w:rPr>
        <w:t>调整了</w:t>
      </w:r>
      <w:r>
        <w:rPr>
          <w:rFonts w:hint="eastAsia" w:ascii="仿宋_GB2312" w:hAnsi="仿宋_GB2312" w:eastAsia="仿宋_GB2312" w:cs="仿宋_GB2312"/>
          <w:color w:val="auto"/>
          <w:sz w:val="32"/>
          <w:szCs w:val="32"/>
        </w:rPr>
        <w:t>多个专项培训主题；第二，为大幅提升培训精准度和实效，将原计划的大型综合培训班优化拆分为多个针对不同业务条线、不同技能层级的小班制、专题化培训。此举</w:t>
      </w:r>
      <w:r>
        <w:rPr>
          <w:rFonts w:hint="eastAsia" w:ascii="仿宋_GB2312" w:hAnsi="仿宋_GB2312" w:eastAsia="仿宋_GB2312" w:cs="仿宋_GB2312"/>
          <w:color w:val="auto"/>
          <w:sz w:val="32"/>
          <w:szCs w:val="32"/>
          <w:lang w:eastAsia="zh-CN"/>
        </w:rPr>
        <w:t>在培训预算不增的前提下</w:t>
      </w:r>
      <w:r>
        <w:rPr>
          <w:rFonts w:hint="eastAsia" w:ascii="仿宋_GB2312" w:hAnsi="仿宋_GB2312" w:eastAsia="仿宋_GB2312" w:cs="仿宋_GB2312"/>
          <w:color w:val="auto"/>
          <w:sz w:val="32"/>
          <w:szCs w:val="32"/>
        </w:rPr>
        <w:t>班次和课程总量大幅增加，但培训的针对性、深度和效果得到了显著增强，获得了参训人员的普遍好评。</w:t>
      </w:r>
      <w:r>
        <w:rPr>
          <w:rFonts w:hint="eastAsia" w:ascii="仿宋_GB2312" w:hAnsi="仿宋_GB2312" w:eastAsia="仿宋_GB2312" w:cs="仿宋_GB2312"/>
          <w:color w:val="auto"/>
          <w:kern w:val="0"/>
          <w:sz w:val="32"/>
          <w:szCs w:val="32"/>
        </w:rPr>
        <w:t>下一步改进措施：一是</w:t>
      </w:r>
      <w:r>
        <w:rPr>
          <w:rFonts w:hint="eastAsia" w:ascii="仿宋_GB2312" w:hAnsi="仿宋_GB2312" w:eastAsia="仿宋_GB2312" w:cs="仿宋_GB2312"/>
          <w:color w:val="auto"/>
          <w:sz w:val="32"/>
          <w:szCs w:val="32"/>
        </w:rPr>
        <w:t>针对“培训班次/课程数量”超预期完成的情况，下一步将总结本次培训的成功经验，将其作为优化未来培训工作的重要方向。在编制下年度培训计划时，将更科学地预测和规划培训需求，提高计划的前瞻性和灵活性，使绩效目标值更能贴合实际业务发展的动态需求，既保证培训效果，又确保绩效指标的精准性。二是项目立项、实施不存在问题，本项目在项目立项时严格按照有关要求立项，项目组织实施按全年工作任务进行分类，专人负责，集体分工协作。严格按照年初确定的工作目标，明确组织实施措施和策略，确保项目正常有序地开展。</w:t>
      </w:r>
    </w:p>
    <w:p w14:paraId="16D47618">
      <w:pPr>
        <w:topLinePunct/>
        <w:adjustRightInd w:val="0"/>
        <w:snapToGrid w:val="0"/>
        <w:spacing w:line="600" w:lineRule="exact"/>
        <w:ind w:firstLine="643" w:firstLineChars="200"/>
        <w:rPr>
          <w:rFonts w:ascii="仿宋" w:hAnsi="仿宋" w:eastAsia="仿宋" w:cs="仿宋"/>
          <w:color w:val="auto"/>
          <w:kern w:val="0"/>
          <w:sz w:val="32"/>
          <w:szCs w:val="32"/>
        </w:rPr>
      </w:pPr>
      <w:r>
        <w:rPr>
          <w:rFonts w:eastAsia="仿宋_GB2312"/>
          <w:b/>
          <w:color w:val="auto"/>
          <w:kern w:val="0"/>
          <w:sz w:val="32"/>
          <w:szCs w:val="32"/>
        </w:rPr>
        <w:t>3</w:t>
      </w:r>
      <w:r>
        <w:rPr>
          <w:rFonts w:hint="eastAsia" w:ascii="仿宋_GB2312" w:hAnsi="仿宋_GB2312" w:eastAsia="仿宋_GB2312" w:cs="仿宋_GB2312"/>
          <w:b/>
          <w:color w:val="auto"/>
          <w:kern w:val="0"/>
          <w:sz w:val="32"/>
          <w:szCs w:val="32"/>
        </w:rPr>
        <w:t>. 检察</w:t>
      </w:r>
      <w:r>
        <w:rPr>
          <w:rFonts w:hint="eastAsia" w:ascii="仿宋_GB2312" w:hAnsi="仿宋_GB2312" w:eastAsia="仿宋_GB2312" w:cs="仿宋_GB2312"/>
          <w:b/>
          <w:color w:val="auto"/>
          <w:sz w:val="32"/>
          <w:szCs w:val="32"/>
        </w:rPr>
        <w:t>系统服装费</w:t>
      </w:r>
      <w:r>
        <w:rPr>
          <w:rFonts w:hint="eastAsia" w:ascii="仿宋_GB2312" w:hAnsi="仿宋_GB2312" w:eastAsia="仿宋_GB2312" w:cs="仿宋_GB2312"/>
          <w:b/>
          <w:color w:val="auto"/>
          <w:kern w:val="0"/>
          <w:sz w:val="32"/>
          <w:szCs w:val="32"/>
        </w:rPr>
        <w:t>项目自评综述：</w:t>
      </w:r>
      <w:r>
        <w:rPr>
          <w:rFonts w:hint="eastAsia" w:ascii="仿宋_GB2312" w:hAnsi="仿宋_GB2312" w:eastAsia="仿宋_GB2312" w:cs="仿宋_GB2312"/>
          <w:color w:val="auto"/>
          <w:kern w:val="0"/>
          <w:sz w:val="32"/>
          <w:szCs w:val="32"/>
        </w:rPr>
        <w:t>根据年初设定的绩效目标，项目自评得分</w:t>
      </w:r>
      <w:r>
        <w:rPr>
          <w:rFonts w:eastAsia="仿宋_GB2312"/>
          <w:color w:val="auto"/>
          <w:kern w:val="0"/>
          <w:sz w:val="32"/>
          <w:szCs w:val="32"/>
          <w:u w:val="single"/>
        </w:rPr>
        <w:t>97</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43</w:t>
      </w:r>
      <w:r>
        <w:rPr>
          <w:rFonts w:hint="eastAsia" w:ascii="仿宋_GB2312" w:hAnsi="仿宋_GB2312" w:eastAsia="仿宋_GB2312" w:cs="仿宋_GB2312"/>
          <w:color w:val="auto"/>
          <w:kern w:val="0"/>
          <w:sz w:val="32"/>
          <w:szCs w:val="32"/>
        </w:rPr>
        <w:t>分。全年预算数为</w:t>
      </w:r>
      <w:r>
        <w:rPr>
          <w:rFonts w:eastAsia="仿宋_GB2312"/>
          <w:color w:val="auto"/>
          <w:kern w:val="0"/>
          <w:sz w:val="32"/>
          <w:szCs w:val="32"/>
          <w:u w:val="single"/>
        </w:rPr>
        <w:t>1036</w:t>
      </w:r>
      <w:r>
        <w:rPr>
          <w:rFonts w:hint="eastAsia" w:ascii="仿宋_GB2312" w:hAnsi="仿宋_GB2312" w:eastAsia="仿宋_GB2312" w:cs="仿宋_GB2312"/>
          <w:color w:val="auto"/>
          <w:kern w:val="0"/>
          <w:sz w:val="32"/>
          <w:szCs w:val="32"/>
        </w:rPr>
        <w:t>万元，执行数为</w:t>
      </w:r>
      <w:r>
        <w:rPr>
          <w:rFonts w:eastAsia="仿宋_GB2312"/>
          <w:color w:val="auto"/>
          <w:kern w:val="0"/>
          <w:sz w:val="32"/>
          <w:szCs w:val="32"/>
          <w:u w:val="single"/>
        </w:rPr>
        <w:t>769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82</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74</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31</w:t>
      </w:r>
      <w:r>
        <w:rPr>
          <w:rFonts w:hint="eastAsia" w:ascii="仿宋_GB2312" w:hAnsi="仿宋_GB2312" w:eastAsia="仿宋_GB2312" w:cs="仿宋_GB2312"/>
          <w:color w:val="auto"/>
          <w:kern w:val="0"/>
          <w:sz w:val="32"/>
          <w:szCs w:val="32"/>
        </w:rPr>
        <w:t>%。项目绩效目标完成情况：</w:t>
      </w:r>
      <w:r>
        <w:rPr>
          <w:rFonts w:eastAsia="仿宋_GB2312"/>
          <w:color w:val="auto"/>
          <w:sz w:val="32"/>
          <w:szCs w:val="32"/>
        </w:rPr>
        <w:t>2025</w:t>
      </w:r>
      <w:r>
        <w:rPr>
          <w:rFonts w:hint="eastAsia" w:ascii="仿宋_GB2312" w:hAnsi="仿宋_GB2312" w:eastAsia="仿宋_GB2312" w:cs="仿宋_GB2312"/>
          <w:color w:val="auto"/>
          <w:sz w:val="32"/>
          <w:szCs w:val="32"/>
        </w:rPr>
        <w:t>年度，检察系统服装费项目严格贯彻落实最高检服装管理要求，规范高效组织实施政府采购，项目完成情况总体良好。全年实际执行</w:t>
      </w:r>
      <w:r>
        <w:rPr>
          <w:rFonts w:eastAsia="仿宋_GB2312"/>
          <w:color w:val="auto"/>
          <w:sz w:val="32"/>
          <w:szCs w:val="32"/>
        </w:rPr>
        <w:t>769</w:t>
      </w:r>
      <w:r>
        <w:rPr>
          <w:rFonts w:hint="eastAsia" w:ascii="仿宋_GB2312" w:hAnsi="仿宋_GB2312" w:eastAsia="仿宋_GB2312" w:cs="仿宋_GB2312"/>
          <w:color w:val="auto"/>
          <w:sz w:val="32"/>
          <w:szCs w:val="32"/>
        </w:rPr>
        <w:t>.</w:t>
      </w:r>
      <w:r>
        <w:rPr>
          <w:rFonts w:eastAsia="仿宋_GB2312"/>
          <w:color w:val="auto"/>
          <w:sz w:val="32"/>
          <w:szCs w:val="32"/>
        </w:rPr>
        <w:t>82</w:t>
      </w:r>
      <w:r>
        <w:rPr>
          <w:rFonts w:hint="eastAsia" w:ascii="仿宋_GB2312" w:hAnsi="仿宋_GB2312" w:eastAsia="仿宋_GB2312" w:cs="仿宋_GB2312"/>
          <w:color w:val="auto"/>
          <w:sz w:val="32"/>
          <w:szCs w:val="32"/>
        </w:rPr>
        <w:t>万元，预算执行率为</w:t>
      </w:r>
      <w:r>
        <w:rPr>
          <w:rFonts w:eastAsia="仿宋_GB2312"/>
          <w:color w:val="auto"/>
          <w:sz w:val="32"/>
          <w:szCs w:val="32"/>
        </w:rPr>
        <w:t>74</w:t>
      </w:r>
      <w:r>
        <w:rPr>
          <w:rFonts w:hint="eastAsia" w:ascii="仿宋_GB2312" w:hAnsi="仿宋_GB2312" w:eastAsia="仿宋_GB2312" w:cs="仿宋_GB2312"/>
          <w:color w:val="auto"/>
          <w:sz w:val="32"/>
          <w:szCs w:val="32"/>
        </w:rPr>
        <w:t>.</w:t>
      </w:r>
      <w:r>
        <w:rPr>
          <w:rFonts w:eastAsia="仿宋_GB2312"/>
          <w:color w:val="auto"/>
          <w:sz w:val="32"/>
          <w:szCs w:val="32"/>
        </w:rPr>
        <w:t>31</w:t>
      </w:r>
      <w:r>
        <w:rPr>
          <w:rFonts w:hint="eastAsia" w:ascii="仿宋_GB2312" w:hAnsi="仿宋_GB2312" w:eastAsia="仿宋_GB2312" w:cs="仿宋_GB2312"/>
          <w:color w:val="auto"/>
          <w:sz w:val="32"/>
          <w:szCs w:val="32"/>
        </w:rPr>
        <w:t>%，通过源头控制和优化采购方案，有效节约了财政资金，并将支出严格控制在合同约定范围内。产出方面，全面完成春秋季检察服、衬衣及冬季棉服的全部采购配发任务，共计</w:t>
      </w:r>
      <w:r>
        <w:rPr>
          <w:rFonts w:eastAsia="仿宋_GB2312"/>
          <w:color w:val="auto"/>
          <w:sz w:val="32"/>
          <w:szCs w:val="32"/>
        </w:rPr>
        <w:t>24328</w:t>
      </w:r>
      <w:r>
        <w:rPr>
          <w:rFonts w:hint="eastAsia" w:ascii="仿宋_GB2312" w:hAnsi="仿宋_GB2312" w:eastAsia="仿宋_GB2312" w:cs="仿宋_GB2312"/>
          <w:color w:val="auto"/>
          <w:sz w:val="32"/>
          <w:szCs w:val="32"/>
        </w:rPr>
        <w:t>套/件，着装合体率达</w:t>
      </w:r>
      <w:r>
        <w:rPr>
          <w:rFonts w:eastAsia="仿宋_GB2312"/>
          <w:color w:val="auto"/>
          <w:sz w:val="32"/>
          <w:szCs w:val="32"/>
        </w:rPr>
        <w:t>9</w:t>
      </w:r>
      <w:r>
        <w:rPr>
          <w:rFonts w:hint="eastAsia" w:eastAsia="仿宋_GB2312"/>
          <w:color w:val="auto"/>
          <w:sz w:val="32"/>
          <w:szCs w:val="32"/>
          <w:lang w:val="en-US" w:eastAsia="zh-CN"/>
        </w:rPr>
        <w:t>9</w:t>
      </w:r>
      <w:r>
        <w:rPr>
          <w:rFonts w:hint="eastAsia" w:ascii="仿宋_GB2312" w:hAnsi="仿宋_GB2312" w:eastAsia="仿宋_GB2312" w:cs="仿宋_GB2312"/>
          <w:color w:val="auto"/>
          <w:sz w:val="32"/>
          <w:szCs w:val="32"/>
        </w:rPr>
        <w:t>%，合同执行合规，所有物资于</w:t>
      </w:r>
      <w:r>
        <w:rPr>
          <w:rFonts w:eastAsia="仿宋_GB2312"/>
          <w:color w:val="auto"/>
          <w:sz w:val="32"/>
          <w:szCs w:val="32"/>
        </w:rPr>
        <w:t>12</w:t>
      </w:r>
      <w:r>
        <w:rPr>
          <w:rFonts w:hint="eastAsia" w:ascii="仿宋_GB2312" w:hAnsi="仿宋_GB2312" w:eastAsia="仿宋_GB2312" w:cs="仿宋_GB2312"/>
          <w:color w:val="auto"/>
          <w:sz w:val="32"/>
          <w:szCs w:val="32"/>
        </w:rPr>
        <w:t>月份前按时交付，资金支付及时，且单件采购成本均有效控制在预算标准之内。项目的实施显著提升了检察队伍的职业形象与司法公信力，保障了服装配备的年度更新与持续使用，着装干警满意度达</w:t>
      </w:r>
      <w:r>
        <w:rPr>
          <w:rFonts w:eastAsia="仿宋_GB2312"/>
          <w:color w:val="auto"/>
          <w:sz w:val="32"/>
          <w:szCs w:val="32"/>
        </w:rPr>
        <w:t>9</w:t>
      </w:r>
      <w:r>
        <w:rPr>
          <w:rFonts w:hint="eastAsia" w:eastAsia="仿宋_GB2312"/>
          <w:color w:val="auto"/>
          <w:sz w:val="32"/>
          <w:szCs w:val="32"/>
          <w:lang w:val="en-US" w:eastAsia="zh-CN"/>
        </w:rPr>
        <w:t>9</w:t>
      </w:r>
      <w:r>
        <w:rPr>
          <w:rFonts w:hint="eastAsia" w:ascii="仿宋_GB2312" w:hAnsi="仿宋_GB2312" w:eastAsia="仿宋_GB2312" w:cs="仿宋_GB2312"/>
          <w:color w:val="auto"/>
          <w:sz w:val="32"/>
          <w:szCs w:val="32"/>
        </w:rPr>
        <w:t>%，取得了预期的社会效益和管理效益，为实现检察队伍规范化建设提供了有力保障。</w:t>
      </w:r>
      <w:r>
        <w:rPr>
          <w:rFonts w:hint="eastAsia" w:ascii="仿宋_GB2312" w:hAnsi="仿宋_GB2312" w:eastAsia="仿宋_GB2312" w:cs="仿宋_GB2312"/>
          <w:color w:val="auto"/>
          <w:kern w:val="0"/>
          <w:sz w:val="32"/>
          <w:szCs w:val="32"/>
        </w:rPr>
        <w:t>发现的主要问题及原因：问题是</w:t>
      </w:r>
      <w:r>
        <w:rPr>
          <w:rFonts w:hint="eastAsia" w:ascii="仿宋_GB2312" w:hAnsi="仿宋_GB2312" w:eastAsia="仿宋_GB2312" w:cs="仿宋_GB2312"/>
          <w:color w:val="auto"/>
          <w:sz w:val="32"/>
          <w:szCs w:val="32"/>
        </w:rPr>
        <w:t>预算执行率指标未达</w:t>
      </w:r>
      <w:r>
        <w:rPr>
          <w:rFonts w:eastAsia="仿宋_GB2312"/>
          <w:color w:val="auto"/>
          <w:sz w:val="32"/>
          <w:szCs w:val="32"/>
        </w:rPr>
        <w:t>100</w:t>
      </w:r>
      <w:r>
        <w:rPr>
          <w:rFonts w:hint="eastAsia" w:ascii="仿宋_GB2312" w:hAnsi="仿宋_GB2312" w:eastAsia="仿宋_GB2312" w:cs="仿宋_GB2312"/>
          <w:color w:val="auto"/>
          <w:sz w:val="32"/>
          <w:szCs w:val="32"/>
        </w:rPr>
        <w:t>%。主要原因：本项目在采购环节采用了公开招标的政府采购方式，经过充分的市场竞争和供应商的多轮报价，结合项目团队对成本的精细化测算，最终中标的合同总金额较年初预算有所节约。在资金支付方面，严格按照合同约定的条款和货物、服务的实际到货与验收进度执行，因此全年实际执行数为合同金额</w:t>
      </w:r>
      <w:r>
        <w:rPr>
          <w:rFonts w:eastAsia="仿宋_GB2312"/>
          <w:color w:val="auto"/>
          <w:sz w:val="32"/>
          <w:szCs w:val="32"/>
        </w:rPr>
        <w:t>769</w:t>
      </w:r>
      <w:r>
        <w:rPr>
          <w:rFonts w:hint="eastAsia" w:ascii="仿宋_GB2312" w:hAnsi="仿宋_GB2312" w:eastAsia="仿宋_GB2312" w:cs="仿宋_GB2312"/>
          <w:color w:val="auto"/>
          <w:sz w:val="32"/>
          <w:szCs w:val="32"/>
        </w:rPr>
        <w:t>.</w:t>
      </w:r>
      <w:r>
        <w:rPr>
          <w:rFonts w:eastAsia="仿宋_GB2312"/>
          <w:color w:val="auto"/>
          <w:sz w:val="32"/>
          <w:szCs w:val="32"/>
        </w:rPr>
        <w:t>82</w:t>
      </w:r>
      <w:r>
        <w:rPr>
          <w:rFonts w:hint="eastAsia" w:ascii="仿宋_GB2312" w:hAnsi="仿宋_GB2312" w:eastAsia="仿宋_GB2312" w:cs="仿宋_GB2312"/>
          <w:color w:val="auto"/>
          <w:sz w:val="32"/>
          <w:szCs w:val="32"/>
        </w:rPr>
        <w:t>万元，导致财政资金产生结余。这一结果充分反映了我们在项目成本控制方面的有效努力和贯彻资金节约原则的实际成效，并非由于支出进度缓慢或管理不到位所导致</w:t>
      </w:r>
      <w:r>
        <w:rPr>
          <w:rFonts w:hint="eastAsia" w:ascii="仿宋_GB2312" w:hAnsi="仿宋_GB2312" w:eastAsia="仿宋_GB2312" w:cs="仿宋_GB2312"/>
          <w:color w:val="auto"/>
          <w:kern w:val="0"/>
          <w:sz w:val="32"/>
          <w:szCs w:val="32"/>
        </w:rPr>
        <w:t>。下一步改进措施：</w:t>
      </w:r>
      <w:r>
        <w:rPr>
          <w:rFonts w:hint="eastAsia" w:ascii="仿宋_GB2312" w:hAnsi="仿宋_GB2312" w:eastAsia="仿宋_GB2312" w:cs="仿宋_GB2312"/>
          <w:color w:val="auto"/>
          <w:sz w:val="32"/>
          <w:szCs w:val="32"/>
        </w:rPr>
        <w:t>一是针对预算编制精准性问题，下一步将强化预算编制的前期论证与市场调研工作。在编制下一年度服装采购预算时，将更加深入地调查了解服装面料、加工市场行情，参考以往年度合同实际金额，采用更科学、精准的测算方法，进一步提高预算编制的准确性，减小预决算偏差，从源头上提高预算执行率。二是项目立项、实施不存在问题，本项目在项目立项时严格按照有关要求立项，项目组织实施按全年工作任务进行分类，专人负责，集体分工协作。严格按照年初确定的工作目标，明确组织实施措施和策略，确保项目正常有序地开展。</w:t>
      </w:r>
    </w:p>
    <w:p w14:paraId="38C91E96">
      <w:pPr>
        <w:topLinePunct/>
        <w:adjustRightInd w:val="0"/>
        <w:snapToGrid w:val="0"/>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4</w:t>
      </w:r>
      <w:r>
        <w:rPr>
          <w:rFonts w:hint="eastAsia" w:ascii="仿宋_GB2312" w:hAnsi="仿宋_GB2312" w:eastAsia="仿宋_GB2312" w:cs="仿宋_GB2312"/>
          <w:b/>
          <w:color w:val="auto"/>
          <w:kern w:val="0"/>
          <w:sz w:val="32"/>
          <w:szCs w:val="32"/>
        </w:rPr>
        <w:t xml:space="preserve">. </w:t>
      </w:r>
      <w:r>
        <w:rPr>
          <w:rFonts w:hint="eastAsia" w:ascii="仿宋_GB2312" w:hAnsi="仿宋_GB2312" w:eastAsia="仿宋_GB2312" w:cs="仿宋_GB2312"/>
          <w:b/>
          <w:color w:val="auto"/>
          <w:sz w:val="32"/>
          <w:szCs w:val="32"/>
        </w:rPr>
        <w:t>信息系统运行维护经费</w:t>
      </w:r>
      <w:r>
        <w:rPr>
          <w:rFonts w:hint="eastAsia" w:ascii="仿宋_GB2312" w:hAnsi="仿宋_GB2312" w:eastAsia="仿宋_GB2312" w:cs="仿宋_GB2312"/>
          <w:b/>
          <w:color w:val="auto"/>
          <w:kern w:val="0"/>
          <w:sz w:val="32"/>
          <w:szCs w:val="32"/>
        </w:rPr>
        <w:t>项目自评综述：</w:t>
      </w:r>
      <w:r>
        <w:rPr>
          <w:rFonts w:hint="eastAsia" w:ascii="仿宋_GB2312" w:hAnsi="仿宋_GB2312" w:eastAsia="仿宋_GB2312" w:cs="仿宋_GB2312"/>
          <w:color w:val="auto"/>
          <w:kern w:val="0"/>
          <w:sz w:val="32"/>
          <w:szCs w:val="32"/>
        </w:rPr>
        <w:t>根据年初设定的绩效目标，项目自评得分</w:t>
      </w:r>
      <w:r>
        <w:rPr>
          <w:rFonts w:eastAsia="仿宋_GB2312"/>
          <w:color w:val="auto"/>
          <w:kern w:val="0"/>
          <w:sz w:val="32"/>
          <w:szCs w:val="32"/>
          <w:u w:val="single"/>
        </w:rPr>
        <w:t>95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98</w:t>
      </w:r>
      <w:r>
        <w:rPr>
          <w:rFonts w:hint="eastAsia" w:ascii="仿宋_GB2312" w:hAnsi="仿宋_GB2312" w:eastAsia="仿宋_GB2312" w:cs="仿宋_GB2312"/>
          <w:color w:val="auto"/>
          <w:kern w:val="0"/>
          <w:sz w:val="32"/>
          <w:szCs w:val="32"/>
        </w:rPr>
        <w:t>分。全年预算数为</w:t>
      </w:r>
      <w:r>
        <w:rPr>
          <w:rFonts w:eastAsia="仿宋_GB2312"/>
          <w:color w:val="auto"/>
          <w:kern w:val="0"/>
          <w:sz w:val="32"/>
          <w:szCs w:val="32"/>
          <w:u w:val="single"/>
        </w:rPr>
        <w:t>286</w:t>
      </w:r>
      <w:r>
        <w:rPr>
          <w:rFonts w:hint="eastAsia" w:ascii="仿宋_GB2312" w:hAnsi="仿宋_GB2312" w:eastAsia="仿宋_GB2312" w:cs="仿宋_GB2312"/>
          <w:color w:val="auto"/>
          <w:kern w:val="0"/>
          <w:sz w:val="32"/>
          <w:szCs w:val="32"/>
        </w:rPr>
        <w:t>万元，执行数为</w:t>
      </w:r>
      <w:r>
        <w:rPr>
          <w:rFonts w:eastAsia="仿宋_GB2312"/>
          <w:color w:val="auto"/>
          <w:kern w:val="0"/>
          <w:sz w:val="32"/>
          <w:szCs w:val="32"/>
          <w:u w:val="single"/>
        </w:rPr>
        <w:t>285</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42</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99</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8</w:t>
      </w:r>
      <w:r>
        <w:rPr>
          <w:rFonts w:hint="eastAsia" w:ascii="仿宋_GB2312" w:hAnsi="仿宋_GB2312" w:eastAsia="仿宋_GB2312" w:cs="仿宋_GB2312"/>
          <w:color w:val="auto"/>
          <w:kern w:val="0"/>
          <w:sz w:val="32"/>
          <w:szCs w:val="32"/>
        </w:rPr>
        <w:t>%。项目绩效目标完成情况：</w:t>
      </w:r>
      <w:r>
        <w:rPr>
          <w:rFonts w:eastAsia="仿宋_GB2312"/>
          <w:color w:val="auto"/>
          <w:sz w:val="32"/>
          <w:szCs w:val="32"/>
        </w:rPr>
        <w:t>2025</w:t>
      </w:r>
      <w:r>
        <w:rPr>
          <w:rFonts w:hint="eastAsia" w:ascii="仿宋_GB2312" w:hAnsi="仿宋_GB2312" w:eastAsia="仿宋_GB2312" w:cs="仿宋_GB2312"/>
          <w:color w:val="auto"/>
          <w:sz w:val="32"/>
          <w:szCs w:val="32"/>
        </w:rPr>
        <w:t>年度，本项目紧紧围绕检察工作现代化发展需求，严格按照预算和绩效管理要求，扎实有效地推进各项运维保障工作，项目完成情况总体优秀。项目资金执行率为</w:t>
      </w:r>
      <w:r>
        <w:rPr>
          <w:rFonts w:eastAsia="仿宋_GB2312"/>
          <w:color w:val="auto"/>
          <w:sz w:val="32"/>
          <w:szCs w:val="32"/>
        </w:rPr>
        <w:t>99</w:t>
      </w:r>
      <w:r>
        <w:rPr>
          <w:rFonts w:hint="eastAsia" w:ascii="仿宋_GB2312" w:hAnsi="仿宋_GB2312" w:eastAsia="仿宋_GB2312" w:cs="仿宋_GB2312"/>
          <w:color w:val="auto"/>
          <w:sz w:val="32"/>
          <w:szCs w:val="32"/>
        </w:rPr>
        <w:t>.</w:t>
      </w:r>
      <w:r>
        <w:rPr>
          <w:rFonts w:eastAsia="仿宋_GB2312"/>
          <w:color w:val="auto"/>
          <w:sz w:val="32"/>
          <w:szCs w:val="32"/>
        </w:rPr>
        <w:t>8</w:t>
      </w:r>
      <w:r>
        <w:rPr>
          <w:rFonts w:hint="eastAsia" w:ascii="仿宋_GB2312" w:hAnsi="仿宋_GB2312" w:eastAsia="仿宋_GB2312" w:cs="仿宋_GB2312"/>
          <w:color w:val="auto"/>
          <w:sz w:val="32"/>
          <w:szCs w:val="32"/>
        </w:rPr>
        <w:t>%，财政资金使用高效规范。全面完成了</w:t>
      </w:r>
      <w:r>
        <w:rPr>
          <w:rFonts w:eastAsia="仿宋_GB2312"/>
          <w:color w:val="auto"/>
          <w:sz w:val="32"/>
          <w:szCs w:val="32"/>
        </w:rPr>
        <w:t>4</w:t>
      </w:r>
      <w:r>
        <w:rPr>
          <w:rFonts w:hint="eastAsia" w:ascii="仿宋_GB2312" w:hAnsi="仿宋_GB2312" w:eastAsia="仿宋_GB2312" w:cs="仿宋_GB2312"/>
          <w:color w:val="auto"/>
          <w:sz w:val="32"/>
          <w:szCs w:val="32"/>
        </w:rPr>
        <w:t>个核心信息系统的年度运维任务，及时解决系统问题</w:t>
      </w:r>
      <w:r>
        <w:rPr>
          <w:rFonts w:eastAsia="仿宋_GB2312"/>
          <w:color w:val="auto"/>
          <w:sz w:val="32"/>
          <w:szCs w:val="32"/>
        </w:rPr>
        <w:t>10</w:t>
      </w:r>
      <w:r>
        <w:rPr>
          <w:rFonts w:hint="eastAsia" w:ascii="仿宋_GB2312" w:hAnsi="仿宋_GB2312" w:eastAsia="仿宋_GB2312" w:cs="仿宋_GB2312"/>
          <w:color w:val="auto"/>
          <w:sz w:val="32"/>
          <w:szCs w:val="32"/>
        </w:rPr>
        <w:t>次，运维质量全部达标，系统运行故障严格控制在</w:t>
      </w:r>
      <w:r>
        <w:rPr>
          <w:rFonts w:eastAsia="仿宋_GB2312"/>
          <w:color w:val="auto"/>
          <w:sz w:val="32"/>
          <w:szCs w:val="32"/>
        </w:rPr>
        <w:t>5</w:t>
      </w:r>
      <w:r>
        <w:rPr>
          <w:rFonts w:hint="eastAsia" w:ascii="仿宋_GB2312" w:hAnsi="仿宋_GB2312" w:eastAsia="仿宋_GB2312" w:cs="仿宋_GB2312"/>
          <w:color w:val="auto"/>
          <w:sz w:val="32"/>
          <w:szCs w:val="32"/>
        </w:rPr>
        <w:t>次以内且均得到及时有效处置，服务时限得到充分保障。项目的实施显著减少了系统故障发生，保障了检察业务正常高效运转，工作质效得到稳步提升，信息系统持续稳定运行，使用人员满意度达</w:t>
      </w:r>
      <w:r>
        <w:rPr>
          <w:rFonts w:eastAsia="仿宋_GB2312"/>
          <w:color w:val="auto"/>
          <w:sz w:val="32"/>
          <w:szCs w:val="32"/>
        </w:rPr>
        <w:t>90</w:t>
      </w:r>
      <w:r>
        <w:rPr>
          <w:rFonts w:hint="eastAsia" w:ascii="仿宋_GB2312" w:hAnsi="仿宋_GB2312" w:eastAsia="仿宋_GB2312" w:cs="仿宋_GB2312"/>
          <w:color w:val="auto"/>
          <w:sz w:val="32"/>
          <w:szCs w:val="32"/>
        </w:rPr>
        <w:t>%，全面达成了年度绩效目标</w:t>
      </w:r>
      <w:r>
        <w:rPr>
          <w:rFonts w:hint="eastAsia" w:ascii="仿宋_GB2312" w:hAnsi="仿宋_GB2312" w:eastAsia="仿宋_GB2312" w:cs="仿宋_GB2312"/>
          <w:color w:val="auto"/>
          <w:kern w:val="0"/>
          <w:sz w:val="32"/>
          <w:szCs w:val="32"/>
        </w:rPr>
        <w:t>。发现的主要问题及原因：问题为三个，一是</w:t>
      </w:r>
      <w:r>
        <w:rPr>
          <w:rFonts w:hint="eastAsia" w:ascii="仿宋_GB2312" w:hAnsi="仿宋_GB2312" w:eastAsia="仿宋_GB2312" w:cs="仿宋_GB2312"/>
          <w:color w:val="auto"/>
          <w:sz w:val="32"/>
          <w:szCs w:val="32"/>
        </w:rPr>
        <w:t>预算执行率指标未达</w:t>
      </w:r>
      <w:r>
        <w:rPr>
          <w:rFonts w:eastAsia="仿宋_GB2312"/>
          <w:color w:val="auto"/>
          <w:sz w:val="32"/>
          <w:szCs w:val="32"/>
        </w:rPr>
        <w:t>100</w:t>
      </w:r>
      <w:r>
        <w:rPr>
          <w:rFonts w:hint="eastAsia" w:ascii="仿宋_GB2312" w:hAnsi="仿宋_GB2312" w:eastAsia="仿宋_GB2312" w:cs="仿宋_GB2312"/>
          <w:color w:val="auto"/>
          <w:sz w:val="32"/>
          <w:szCs w:val="32"/>
        </w:rPr>
        <w:t>%（</w:t>
      </w:r>
      <w:r>
        <w:rPr>
          <w:rFonts w:eastAsia="仿宋_GB2312"/>
          <w:color w:val="auto"/>
          <w:sz w:val="32"/>
          <w:szCs w:val="32"/>
        </w:rPr>
        <w:t>99</w:t>
      </w:r>
      <w:r>
        <w:rPr>
          <w:rFonts w:hint="eastAsia" w:ascii="仿宋_GB2312" w:hAnsi="仿宋_GB2312" w:eastAsia="仿宋_GB2312" w:cs="仿宋_GB2312"/>
          <w:color w:val="auto"/>
          <w:sz w:val="32"/>
          <w:szCs w:val="32"/>
        </w:rPr>
        <w:t>.</w:t>
      </w:r>
      <w:r>
        <w:rPr>
          <w:rFonts w:eastAsia="仿宋_GB2312"/>
          <w:color w:val="auto"/>
          <w:sz w:val="32"/>
          <w:szCs w:val="32"/>
        </w:rPr>
        <w:t>8</w:t>
      </w:r>
      <w:r>
        <w:rPr>
          <w:rFonts w:hint="eastAsia" w:ascii="仿宋_GB2312" w:hAnsi="仿宋_GB2312" w:eastAsia="仿宋_GB2312" w:cs="仿宋_GB2312"/>
          <w:color w:val="auto"/>
          <w:sz w:val="32"/>
          <w:szCs w:val="32"/>
        </w:rPr>
        <w:t>%）；主要原因：在年度执行过程中，通过加强精细化管理、优化资源调配和采用部分高性价比的解决方案，在全面保障所有运维任务高质量完成的前提下，实际支出略低于预算金额，形成了极小额的财政资金结余。这体现了成本控制的成效，并非预算执行不力。二是统一业务系统运维成本超过目标值；主要原因：最高人民检察院发布了新的业务规范要求，为满足相关合规性和功能性需求，需对现有系统进行功能扩展与安全性强化升级。此项调整增加了额外的开发工作量及安全防护投入，虽经多方优化资源配置，实际支出仍略超目标值</w:t>
      </w:r>
      <w:r>
        <w:rPr>
          <w:rFonts w:eastAsia="仿宋_GB2312"/>
          <w:color w:val="auto"/>
          <w:sz w:val="32"/>
          <w:szCs w:val="32"/>
        </w:rPr>
        <w:t>0</w:t>
      </w:r>
      <w:r>
        <w:rPr>
          <w:rFonts w:hint="eastAsia" w:ascii="仿宋_GB2312" w:hAnsi="仿宋_GB2312" w:eastAsia="仿宋_GB2312" w:cs="仿宋_GB2312"/>
          <w:color w:val="auto"/>
          <w:sz w:val="32"/>
          <w:szCs w:val="32"/>
        </w:rPr>
        <w:t>.</w:t>
      </w:r>
      <w:r>
        <w:rPr>
          <w:rFonts w:eastAsia="仿宋_GB2312"/>
          <w:color w:val="auto"/>
          <w:sz w:val="32"/>
          <w:szCs w:val="32"/>
        </w:rPr>
        <w:t>6</w:t>
      </w:r>
      <w:r>
        <w:rPr>
          <w:rFonts w:hint="eastAsia" w:ascii="仿宋_GB2312" w:hAnsi="仿宋_GB2312" w:eastAsia="仿宋_GB2312" w:cs="仿宋_GB2312"/>
          <w:color w:val="auto"/>
          <w:sz w:val="32"/>
          <w:szCs w:val="32"/>
        </w:rPr>
        <w:t>万元。三是蒙古文数字平台运维成本超过目标值。主要原因：蒙古文包含大量特殊字符，在处理和显示方面需定制开发专用解决方案，同时为保障平台与其他业务系统之间的数据顺畅交互，接口适配工作也带来了额外的技术挑战。这些因素共同导致项目运维成本超出预算</w:t>
      </w:r>
      <w:r>
        <w:rPr>
          <w:rFonts w:eastAsia="仿宋_GB2312"/>
          <w:color w:val="auto"/>
          <w:sz w:val="32"/>
          <w:szCs w:val="32"/>
        </w:rPr>
        <w:t>0</w:t>
      </w:r>
      <w:r>
        <w:rPr>
          <w:rFonts w:hint="eastAsia" w:ascii="仿宋_GB2312" w:hAnsi="仿宋_GB2312" w:eastAsia="仿宋_GB2312" w:cs="仿宋_GB2312"/>
          <w:color w:val="auto"/>
          <w:sz w:val="32"/>
          <w:szCs w:val="32"/>
        </w:rPr>
        <w:t>.</w:t>
      </w:r>
      <w:r>
        <w:rPr>
          <w:rFonts w:eastAsia="仿宋_GB2312"/>
          <w:color w:val="auto"/>
          <w:sz w:val="32"/>
          <w:szCs w:val="32"/>
        </w:rPr>
        <w:t>15</w:t>
      </w:r>
      <w:r>
        <w:rPr>
          <w:rFonts w:hint="eastAsia" w:ascii="仿宋_GB2312" w:hAnsi="仿宋_GB2312" w:eastAsia="仿宋_GB2312" w:cs="仿宋_GB2312"/>
          <w:color w:val="auto"/>
          <w:sz w:val="32"/>
          <w:szCs w:val="32"/>
        </w:rPr>
        <w:t>万元，未能达成预期控制目标。</w:t>
      </w:r>
      <w:r>
        <w:rPr>
          <w:rFonts w:hint="eastAsia" w:ascii="仿宋_GB2312" w:hAnsi="仿宋_GB2312" w:eastAsia="仿宋_GB2312" w:cs="仿宋_GB2312"/>
          <w:color w:val="auto"/>
          <w:kern w:val="0"/>
          <w:sz w:val="32"/>
          <w:szCs w:val="32"/>
        </w:rPr>
        <w:t>下一步改进措施：一是</w:t>
      </w:r>
      <w:r>
        <w:rPr>
          <w:rFonts w:hint="eastAsia" w:ascii="仿宋_GB2312" w:hAnsi="仿宋_GB2312" w:eastAsia="仿宋_GB2312" w:cs="仿宋_GB2312"/>
          <w:color w:val="auto"/>
          <w:sz w:val="32"/>
          <w:szCs w:val="32"/>
        </w:rPr>
        <w:t>将进一步加强预算编制的前瞻性与精准性。在编制下一年度运维预算时，将更深入地结</w:t>
      </w:r>
      <w:r>
        <w:rPr>
          <w:rFonts w:hint="eastAsia" w:ascii="仿宋_GB2312" w:hAnsi="仿宋_GB2312" w:eastAsia="仿宋_GB2312" w:cs="仿宋_GB2312"/>
          <w:color w:val="auto"/>
          <w:spacing w:val="-4"/>
          <w:sz w:val="32"/>
          <w:szCs w:val="32"/>
        </w:rPr>
        <w:t>合各信息系统的运行状况、技术迭代周期和运维服务市场的价格波动情况进行精确测算，力求使预算金额与实际需求高度匹配，持续提升预算编制的科学化、精细化水平。二是将制定政策响应型预算预案。具体包括：持续关注业务规范与合规要求的更新动态，建立“政策—需求—预算”联动调整机制，在年度中适时预留合规性改造专项资金；强化开发流程管理，通过模块化设计降低因政策变化导致的额外改造成本，严格控制需求变更和范围蔓延。三是将推进技术标准化与架构优化以控制特殊需求带来的额外成本。包括：深入总结蒙古文等少数民族文字处理中的共性技术难题，形成可复用的字符处理及接口适配组件，减少重复开发投入；在年度规划中明确特殊字符支持所需资源，提前做好相关技术预研与预算分配；推动跨系统接口规范的统一，降低系统间定制化对接的成本</w:t>
      </w:r>
      <w:r>
        <w:rPr>
          <w:rFonts w:hint="eastAsia" w:ascii="仿宋_GB2312" w:hAnsi="仿宋_GB2312" w:eastAsia="仿宋_GB2312" w:cs="仿宋_GB2312"/>
          <w:color w:val="auto"/>
          <w:spacing w:val="-4"/>
          <w:kern w:val="0"/>
          <w:sz w:val="32"/>
          <w:szCs w:val="32"/>
        </w:rPr>
        <w:t>。</w:t>
      </w:r>
    </w:p>
    <w:p w14:paraId="32AFDED6">
      <w:pPr>
        <w:topLinePunct/>
        <w:adjustRightInd w:val="0"/>
        <w:snapToGrid w:val="0"/>
        <w:spacing w:line="600" w:lineRule="exact"/>
        <w:ind w:firstLine="643" w:firstLineChars="200"/>
        <w:rPr>
          <w:rFonts w:ascii="仿宋_GB2312" w:hAnsi="仿宋_GB2312" w:eastAsia="仿宋_GB2312" w:cs="仿宋_GB2312"/>
          <w:color w:val="auto"/>
          <w:kern w:val="0"/>
          <w:sz w:val="32"/>
          <w:szCs w:val="32"/>
        </w:rPr>
      </w:pPr>
      <w:r>
        <w:rPr>
          <w:rFonts w:eastAsia="仿宋_GB2312"/>
          <w:b/>
          <w:color w:val="auto"/>
          <w:kern w:val="0"/>
          <w:sz w:val="32"/>
          <w:szCs w:val="32"/>
        </w:rPr>
        <w:t>5</w:t>
      </w:r>
      <w:r>
        <w:rPr>
          <w:rFonts w:hint="eastAsia" w:ascii="仿宋_GB2312" w:hAnsi="仿宋_GB2312" w:eastAsia="仿宋_GB2312" w:cs="仿宋_GB2312"/>
          <w:b/>
          <w:color w:val="auto"/>
          <w:kern w:val="0"/>
          <w:sz w:val="32"/>
          <w:szCs w:val="32"/>
        </w:rPr>
        <w:t xml:space="preserve">. </w:t>
      </w:r>
      <w:r>
        <w:rPr>
          <w:rFonts w:hint="eastAsia" w:ascii="仿宋_GB2312" w:hAnsi="仿宋_GB2312" w:eastAsia="仿宋_GB2312" w:cs="仿宋_GB2312"/>
          <w:b/>
          <w:color w:val="auto"/>
          <w:sz w:val="32"/>
          <w:szCs w:val="32"/>
        </w:rPr>
        <w:t>业务装备经费</w:t>
      </w:r>
      <w:r>
        <w:rPr>
          <w:rFonts w:hint="eastAsia" w:ascii="仿宋_GB2312" w:hAnsi="仿宋_GB2312" w:eastAsia="仿宋_GB2312" w:cs="仿宋_GB2312"/>
          <w:b/>
          <w:color w:val="auto"/>
          <w:kern w:val="0"/>
          <w:sz w:val="32"/>
          <w:szCs w:val="32"/>
        </w:rPr>
        <w:t>项目自评综述：</w:t>
      </w:r>
      <w:r>
        <w:rPr>
          <w:rFonts w:hint="eastAsia" w:ascii="仿宋_GB2312" w:hAnsi="仿宋_GB2312" w:eastAsia="仿宋_GB2312" w:cs="仿宋_GB2312"/>
          <w:color w:val="auto"/>
          <w:kern w:val="0"/>
          <w:sz w:val="32"/>
          <w:szCs w:val="32"/>
        </w:rPr>
        <w:t>根据年初设定的绩效目标，项目自评得分</w:t>
      </w:r>
      <w:r>
        <w:rPr>
          <w:rFonts w:eastAsia="仿宋_GB2312"/>
          <w:color w:val="auto"/>
          <w:kern w:val="0"/>
          <w:sz w:val="32"/>
          <w:szCs w:val="32"/>
          <w:u w:val="single"/>
        </w:rPr>
        <w:t>94</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68</w:t>
      </w:r>
      <w:r>
        <w:rPr>
          <w:rFonts w:hint="eastAsia" w:ascii="仿宋_GB2312" w:hAnsi="仿宋_GB2312" w:eastAsia="仿宋_GB2312" w:cs="仿宋_GB2312"/>
          <w:color w:val="auto"/>
          <w:kern w:val="0"/>
          <w:sz w:val="32"/>
          <w:szCs w:val="32"/>
        </w:rPr>
        <w:t>分。全年预算数为</w:t>
      </w:r>
      <w:r>
        <w:rPr>
          <w:rFonts w:eastAsia="仿宋_GB2312"/>
          <w:color w:val="auto"/>
          <w:kern w:val="0"/>
          <w:sz w:val="32"/>
          <w:szCs w:val="32"/>
          <w:u w:val="single"/>
        </w:rPr>
        <w:t>436</w:t>
      </w:r>
      <w:r>
        <w:rPr>
          <w:rFonts w:hint="eastAsia" w:ascii="仿宋_GB2312" w:hAnsi="仿宋_GB2312" w:eastAsia="仿宋_GB2312" w:cs="仿宋_GB2312"/>
          <w:color w:val="auto"/>
          <w:kern w:val="0"/>
          <w:sz w:val="32"/>
          <w:szCs w:val="32"/>
        </w:rPr>
        <w:t>万元，执行数为</w:t>
      </w:r>
      <w:r>
        <w:rPr>
          <w:rFonts w:eastAsia="仿宋_GB2312"/>
          <w:color w:val="auto"/>
          <w:kern w:val="0"/>
          <w:sz w:val="32"/>
          <w:szCs w:val="32"/>
          <w:u w:val="single"/>
        </w:rPr>
        <w:t>422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19</w:t>
      </w:r>
      <w:r>
        <w:rPr>
          <w:rFonts w:hint="eastAsia" w:ascii="仿宋_GB2312" w:hAnsi="仿宋_GB2312" w:eastAsia="仿宋_GB2312" w:cs="仿宋_GB2312"/>
          <w:color w:val="auto"/>
          <w:kern w:val="0"/>
          <w:sz w:val="32"/>
          <w:szCs w:val="32"/>
        </w:rPr>
        <w:t>万元，完成预算的</w:t>
      </w:r>
      <w:r>
        <w:rPr>
          <w:rFonts w:eastAsia="仿宋_GB2312"/>
          <w:color w:val="auto"/>
          <w:kern w:val="0"/>
          <w:sz w:val="32"/>
          <w:szCs w:val="32"/>
          <w:u w:val="single"/>
        </w:rPr>
        <w:t>96</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83</w:t>
      </w:r>
      <w:r>
        <w:rPr>
          <w:rFonts w:hint="eastAsia" w:ascii="仿宋_GB2312" w:hAnsi="仿宋_GB2312" w:eastAsia="仿宋_GB2312" w:cs="仿宋_GB2312"/>
          <w:color w:val="auto"/>
          <w:kern w:val="0"/>
          <w:sz w:val="32"/>
          <w:szCs w:val="32"/>
        </w:rPr>
        <w:t>%。项目绩效目标完成情况：</w:t>
      </w:r>
      <w:r>
        <w:rPr>
          <w:rFonts w:eastAsia="仿宋_GB2312"/>
          <w:color w:val="auto"/>
          <w:kern w:val="0"/>
          <w:sz w:val="32"/>
          <w:szCs w:val="32"/>
        </w:rPr>
        <w:t>2</w:t>
      </w:r>
      <w:r>
        <w:rPr>
          <w:rFonts w:eastAsia="仿宋_GB2312"/>
          <w:color w:val="auto"/>
          <w:sz w:val="32"/>
          <w:szCs w:val="32"/>
        </w:rPr>
        <w:t>025</w:t>
      </w:r>
      <w:r>
        <w:rPr>
          <w:rFonts w:hint="eastAsia" w:ascii="仿宋_GB2312" w:hAnsi="仿宋_GB2312" w:eastAsia="仿宋_GB2312" w:cs="仿宋_GB2312"/>
          <w:color w:val="auto"/>
          <w:sz w:val="32"/>
          <w:szCs w:val="32"/>
        </w:rPr>
        <w:t>年度，业务装备经费项目严格遵循业务装备配备标准，以保障检察履职需求为导向，全面高效落实年度装备采购与配置任务，项目完成情况优异。项目资金执行率为</w:t>
      </w:r>
      <w:r>
        <w:rPr>
          <w:rFonts w:eastAsia="仿宋_GB2312"/>
          <w:color w:val="auto"/>
          <w:sz w:val="32"/>
          <w:szCs w:val="32"/>
        </w:rPr>
        <w:t>96</w:t>
      </w:r>
      <w:r>
        <w:rPr>
          <w:rFonts w:hint="eastAsia" w:ascii="仿宋_GB2312" w:hAnsi="仿宋_GB2312" w:eastAsia="仿宋_GB2312" w:cs="仿宋_GB2312"/>
          <w:color w:val="auto"/>
          <w:sz w:val="32"/>
          <w:szCs w:val="32"/>
        </w:rPr>
        <w:t>.</w:t>
      </w:r>
      <w:r>
        <w:rPr>
          <w:rFonts w:eastAsia="仿宋_GB2312"/>
          <w:color w:val="auto"/>
          <w:sz w:val="32"/>
          <w:szCs w:val="32"/>
        </w:rPr>
        <w:t>83</w:t>
      </w:r>
      <w:r>
        <w:rPr>
          <w:rFonts w:hint="eastAsia" w:ascii="仿宋_GB2312" w:hAnsi="仿宋_GB2312" w:eastAsia="仿宋_GB2312" w:cs="仿宋_GB2312"/>
          <w:color w:val="auto"/>
          <w:sz w:val="32"/>
          <w:szCs w:val="32"/>
        </w:rPr>
        <w:t>%，预算执行高效规范。产出方面，政府采购率严格控制在</w:t>
      </w:r>
      <w:r>
        <w:rPr>
          <w:rFonts w:eastAsia="仿宋_GB2312"/>
          <w:color w:val="auto"/>
          <w:sz w:val="32"/>
          <w:szCs w:val="32"/>
        </w:rPr>
        <w:t>90</w:t>
      </w:r>
      <w:r>
        <w:rPr>
          <w:rFonts w:hint="eastAsia" w:ascii="仿宋_GB2312" w:hAnsi="仿宋_GB2312" w:eastAsia="仿宋_GB2312" w:cs="仿宋_GB2312"/>
          <w:color w:val="auto"/>
          <w:sz w:val="32"/>
          <w:szCs w:val="32"/>
        </w:rPr>
        <w:t>%以上，按计划完成</w:t>
      </w:r>
      <w:r>
        <w:rPr>
          <w:rFonts w:eastAsia="仿宋_GB2312"/>
          <w:color w:val="auto"/>
          <w:sz w:val="32"/>
          <w:szCs w:val="32"/>
        </w:rPr>
        <w:t>100</w:t>
      </w:r>
      <w:r>
        <w:rPr>
          <w:rFonts w:hint="eastAsia" w:ascii="仿宋_GB2312" w:hAnsi="仿宋_GB2312" w:eastAsia="仿宋_GB2312" w:cs="仿宋_GB2312"/>
          <w:color w:val="auto"/>
          <w:sz w:val="32"/>
          <w:szCs w:val="32"/>
        </w:rPr>
        <w:t>台设备的购置目标，设备质量合格率达</w:t>
      </w:r>
      <w:r>
        <w:rPr>
          <w:rFonts w:eastAsia="仿宋_GB2312"/>
          <w:color w:val="auto"/>
          <w:sz w:val="32"/>
          <w:szCs w:val="32"/>
        </w:rPr>
        <w:t>90</w:t>
      </w:r>
      <w:r>
        <w:rPr>
          <w:rFonts w:hint="eastAsia" w:ascii="仿宋_GB2312" w:hAnsi="仿宋_GB2312" w:eastAsia="仿宋_GB2312" w:cs="仿宋_GB2312"/>
          <w:color w:val="auto"/>
          <w:sz w:val="32"/>
          <w:szCs w:val="32"/>
        </w:rPr>
        <w:t>%，故障率控制在</w:t>
      </w:r>
      <w:r>
        <w:rPr>
          <w:rFonts w:eastAsia="仿宋_GB2312"/>
          <w:color w:val="auto"/>
          <w:sz w:val="32"/>
          <w:szCs w:val="32"/>
        </w:rPr>
        <w:t>10</w:t>
      </w:r>
      <w:r>
        <w:rPr>
          <w:rFonts w:hint="eastAsia" w:ascii="仿宋_GB2312" w:hAnsi="仿宋_GB2312" w:eastAsia="仿宋_GB2312" w:cs="仿宋_GB2312"/>
          <w:color w:val="auto"/>
          <w:sz w:val="32"/>
          <w:szCs w:val="32"/>
        </w:rPr>
        <w:t>%以内，所有设备于</w:t>
      </w:r>
      <w:r>
        <w:rPr>
          <w:rFonts w:eastAsia="仿宋_GB2312"/>
          <w:color w:val="auto"/>
          <w:sz w:val="32"/>
          <w:szCs w:val="32"/>
        </w:rPr>
        <w:t>12</w:t>
      </w:r>
      <w:r>
        <w:rPr>
          <w:rFonts w:hint="eastAsia" w:ascii="仿宋_GB2312" w:hAnsi="仿宋_GB2312" w:eastAsia="仿宋_GB2312" w:cs="仿宋_GB2312"/>
          <w:color w:val="auto"/>
          <w:sz w:val="32"/>
          <w:szCs w:val="32"/>
        </w:rPr>
        <w:t>月底前完成购置与验收，通用设备和专用设备采购费用均严格控制在预算范围之内。项目的实施显著提升了原有设备技术水平，设备利用率达</w:t>
      </w:r>
      <w:r>
        <w:rPr>
          <w:rFonts w:eastAsia="仿宋_GB2312"/>
          <w:color w:val="auto"/>
          <w:sz w:val="32"/>
          <w:szCs w:val="32"/>
        </w:rPr>
        <w:t>90</w:t>
      </w:r>
      <w:r>
        <w:rPr>
          <w:rFonts w:hint="eastAsia" w:ascii="仿宋_GB2312" w:hAnsi="仿宋_GB2312" w:eastAsia="仿宋_GB2312" w:cs="仿宋_GB2312"/>
          <w:color w:val="auto"/>
          <w:sz w:val="32"/>
          <w:szCs w:val="32"/>
        </w:rPr>
        <w:t>%，使用年限可超</w:t>
      </w:r>
      <w:r>
        <w:rPr>
          <w:rFonts w:eastAsia="仿宋_GB2312"/>
          <w:color w:val="auto"/>
          <w:sz w:val="32"/>
          <w:szCs w:val="32"/>
        </w:rPr>
        <w:t>5</w:t>
      </w:r>
      <w:r>
        <w:rPr>
          <w:rFonts w:hint="eastAsia" w:ascii="仿宋_GB2312" w:hAnsi="仿宋_GB2312" w:eastAsia="仿宋_GB2312" w:cs="仿宋_GB2312"/>
          <w:color w:val="auto"/>
          <w:sz w:val="32"/>
          <w:szCs w:val="32"/>
        </w:rPr>
        <w:t>年，使用人员满意度达</w:t>
      </w:r>
      <w:r>
        <w:rPr>
          <w:rFonts w:eastAsia="仿宋_GB2312"/>
          <w:color w:val="auto"/>
          <w:sz w:val="32"/>
          <w:szCs w:val="32"/>
        </w:rPr>
        <w:t>90</w:t>
      </w:r>
      <w:r>
        <w:rPr>
          <w:rFonts w:hint="eastAsia" w:ascii="仿宋_GB2312" w:hAnsi="仿宋_GB2312" w:eastAsia="仿宋_GB2312" w:cs="仿宋_GB2312"/>
          <w:color w:val="auto"/>
          <w:sz w:val="32"/>
          <w:szCs w:val="32"/>
        </w:rPr>
        <w:t>%，有力改善了办公条件，保障了检察业务高效顺利开展，取得了良好的管理效益和社会效益，圆满达成年度各项绩效目标</w:t>
      </w:r>
      <w:r>
        <w:rPr>
          <w:rFonts w:hint="eastAsia" w:ascii="仿宋_GB2312" w:hAnsi="仿宋_GB2312" w:eastAsia="仿宋_GB2312" w:cs="仿宋_GB2312"/>
          <w:color w:val="auto"/>
          <w:kern w:val="0"/>
          <w:sz w:val="32"/>
          <w:szCs w:val="32"/>
        </w:rPr>
        <w:t>。发现的主要问题及原因：一是预算执行率指标未达</w:t>
      </w:r>
      <w:r>
        <w:rPr>
          <w:rFonts w:eastAsia="仿宋_GB2312"/>
          <w:color w:val="auto"/>
          <w:kern w:val="0"/>
          <w:sz w:val="32"/>
          <w:szCs w:val="32"/>
        </w:rPr>
        <w:t>100</w:t>
      </w:r>
      <w:r>
        <w:rPr>
          <w:rFonts w:hint="eastAsia" w:ascii="仿宋_GB2312" w:hAnsi="仿宋_GB2312" w:eastAsia="仿宋_GB2312" w:cs="仿宋_GB2312"/>
          <w:color w:val="auto"/>
          <w:kern w:val="0"/>
          <w:sz w:val="32"/>
          <w:szCs w:val="32"/>
        </w:rPr>
        <w:t>%（</w:t>
      </w:r>
      <w:r>
        <w:rPr>
          <w:rFonts w:eastAsia="仿宋_GB2312"/>
          <w:color w:val="auto"/>
          <w:kern w:val="0"/>
          <w:sz w:val="32"/>
          <w:szCs w:val="32"/>
        </w:rPr>
        <w:t>96</w:t>
      </w:r>
      <w:r>
        <w:rPr>
          <w:rFonts w:hint="eastAsia" w:ascii="仿宋_GB2312" w:hAnsi="仿宋_GB2312" w:eastAsia="仿宋_GB2312" w:cs="仿宋_GB2312"/>
          <w:color w:val="auto"/>
          <w:kern w:val="0"/>
          <w:sz w:val="32"/>
          <w:szCs w:val="32"/>
        </w:rPr>
        <w:t>.</w:t>
      </w:r>
      <w:r>
        <w:rPr>
          <w:rFonts w:eastAsia="仿宋_GB2312"/>
          <w:color w:val="auto"/>
          <w:kern w:val="0"/>
          <w:sz w:val="32"/>
          <w:szCs w:val="32"/>
        </w:rPr>
        <w:t>83</w:t>
      </w:r>
      <w:r>
        <w:rPr>
          <w:rFonts w:hint="eastAsia" w:ascii="仿宋_GB2312" w:hAnsi="仿宋_GB2312" w:eastAsia="仿宋_GB2312" w:cs="仿宋_GB2312"/>
          <w:color w:val="auto"/>
          <w:kern w:val="0"/>
          <w:sz w:val="32"/>
          <w:szCs w:val="32"/>
        </w:rPr>
        <w:t>%）。主要原因：本年度根据检察业务发展的实际需要，经规定程序对项目预算进行了合理调整（由</w:t>
      </w:r>
      <w:r>
        <w:rPr>
          <w:rFonts w:eastAsia="仿宋_GB2312"/>
          <w:color w:val="auto"/>
          <w:kern w:val="0"/>
          <w:sz w:val="32"/>
          <w:szCs w:val="32"/>
        </w:rPr>
        <w:t>407</w:t>
      </w:r>
      <w:r>
        <w:rPr>
          <w:rFonts w:hint="eastAsia" w:ascii="仿宋_GB2312" w:hAnsi="仿宋_GB2312" w:eastAsia="仿宋_GB2312" w:cs="仿宋_GB2312"/>
          <w:color w:val="auto"/>
          <w:kern w:val="0"/>
          <w:sz w:val="32"/>
          <w:szCs w:val="32"/>
        </w:rPr>
        <w:t>万元调整至</w:t>
      </w:r>
      <w:r>
        <w:rPr>
          <w:rFonts w:eastAsia="仿宋_GB2312"/>
          <w:color w:val="auto"/>
          <w:kern w:val="0"/>
          <w:sz w:val="32"/>
          <w:szCs w:val="32"/>
        </w:rPr>
        <w:t>436</w:t>
      </w:r>
      <w:r>
        <w:rPr>
          <w:rFonts w:hint="eastAsia" w:ascii="仿宋_GB2312" w:hAnsi="仿宋_GB2312" w:eastAsia="仿宋_GB2312" w:cs="仿宋_GB2312"/>
          <w:color w:val="auto"/>
          <w:kern w:val="0"/>
          <w:sz w:val="32"/>
          <w:szCs w:val="32"/>
        </w:rPr>
        <w:t>万元）。在实际执行过程中，通过强化政府采购管理、优化采购方案和加强市场价格调研，在全面完成</w:t>
      </w:r>
      <w:r>
        <w:rPr>
          <w:rFonts w:eastAsia="仿宋_GB2312"/>
          <w:color w:val="auto"/>
          <w:kern w:val="0"/>
          <w:sz w:val="32"/>
          <w:szCs w:val="32"/>
        </w:rPr>
        <w:t>100</w:t>
      </w:r>
      <w:r>
        <w:rPr>
          <w:rFonts w:hint="eastAsia" w:ascii="仿宋_GB2312" w:hAnsi="仿宋_GB2312" w:eastAsia="仿宋_GB2312" w:cs="仿宋_GB2312"/>
          <w:color w:val="auto"/>
          <w:kern w:val="0"/>
          <w:sz w:val="32"/>
          <w:szCs w:val="32"/>
        </w:rPr>
        <w:t>台设备采购任务且质量全部达标的前提下，实际合同金额略低于调整后预算，形成了财政资金结余。这体现了精细化管理和成本控制的成效，确保了财政资金的使用效益。二是设备质量合格率优于目标值。主要原因：项目实施过程中严格执行采购验收程序，对所有采购设备增设了前置检测环节，确保不合格设备不予接收，从根本上抬升了质量合格水平。三是在专用设备采购费用（万元）方面，超出原定控制目标。主要原因：本年度新增了专业技术实验室的设备采购项目，该项目为满足研发和实验需求而紧急启动，导致采购支出相应增加。因此，尽管实际支出未能达成原定控制目标，但该项投入对提升科研能力和实验条件具有积极意义。下一步改进措施：一是将进一步加强预算编制与执行管理的衔接与精准度。在编制年度装备购置预算时，将更深入开展市场调研和设备需求论证，提高预算测算的科学性与准确性。</w:t>
      </w:r>
      <w:r>
        <w:rPr>
          <w:rFonts w:hint="eastAsia" w:ascii="仿宋_GB2312" w:hAnsi="仿宋_GB2312" w:eastAsia="仿宋_GB2312" w:cs="仿宋_GB2312"/>
          <w:color w:val="auto"/>
          <w:spacing w:val="-4"/>
          <w:kern w:val="0"/>
          <w:sz w:val="32"/>
          <w:szCs w:val="32"/>
        </w:rPr>
        <w:t>二是将“前置检测环节”等有效的质量控制措施进行标准化、流程化，并纳入本单位《政府采购管理实施细则》或《设备验收管理办法》中，形成长期制度，全面提升全院采购设备的质量水平。三是将进一步加强预算编制与执行管理的衔接与精准度。在编制年度装备购置预算时，将更深入开展市场调研和设备需求论证，提高预算测算的科学性与准确性。同时，在预算执行过程中保持对市场价格波动的敏感性，确保预算调整更加精准地反映实际需求，持续提升预算管理的精细化水平。</w:t>
      </w:r>
    </w:p>
    <w:tbl>
      <w:tblPr>
        <w:tblStyle w:val="11"/>
        <w:tblW w:w="9669" w:type="dxa"/>
        <w:jc w:val="center"/>
        <w:tblLayout w:type="fixed"/>
        <w:tblCellMar>
          <w:top w:w="0" w:type="dxa"/>
          <w:left w:w="28" w:type="dxa"/>
          <w:bottom w:w="0" w:type="dxa"/>
          <w:right w:w="28" w:type="dxa"/>
        </w:tblCellMar>
      </w:tblPr>
      <w:tblGrid>
        <w:gridCol w:w="389"/>
        <w:gridCol w:w="41"/>
        <w:gridCol w:w="457"/>
        <w:gridCol w:w="94"/>
        <w:gridCol w:w="611"/>
        <w:gridCol w:w="260"/>
        <w:gridCol w:w="583"/>
        <w:gridCol w:w="582"/>
        <w:gridCol w:w="197"/>
        <w:gridCol w:w="602"/>
        <w:gridCol w:w="135"/>
        <w:gridCol w:w="528"/>
        <w:gridCol w:w="669"/>
        <w:gridCol w:w="403"/>
        <w:gridCol w:w="302"/>
        <w:gridCol w:w="804"/>
        <w:gridCol w:w="25"/>
        <w:gridCol w:w="450"/>
        <w:gridCol w:w="170"/>
        <w:gridCol w:w="305"/>
        <w:gridCol w:w="425"/>
        <w:gridCol w:w="617"/>
        <w:gridCol w:w="923"/>
        <w:gridCol w:w="97"/>
      </w:tblGrid>
      <w:tr w14:paraId="1732BA06">
        <w:tblPrEx>
          <w:tblCellMar>
            <w:top w:w="0" w:type="dxa"/>
            <w:left w:w="28" w:type="dxa"/>
            <w:bottom w:w="0" w:type="dxa"/>
            <w:right w:w="28" w:type="dxa"/>
          </w:tblCellMar>
        </w:tblPrEx>
        <w:trPr>
          <w:gridAfter w:val="1"/>
          <w:wAfter w:w="97" w:type="dxa"/>
          <w:trHeight w:val="745" w:hRule="atLeast"/>
          <w:jc w:val="center"/>
        </w:trPr>
        <w:tc>
          <w:tcPr>
            <w:tcW w:w="9572"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27AF99C0">
            <w:pPr>
              <w:widowControl/>
              <w:spacing w:line="400" w:lineRule="exact"/>
              <w:jc w:val="center"/>
              <w:textAlignment w:val="center"/>
              <w:rPr>
                <w:rFonts w:eastAsia="黑体"/>
                <w:bCs/>
                <w:color w:val="auto"/>
                <w:kern w:val="0"/>
                <w:sz w:val="30"/>
                <w:szCs w:val="30"/>
              </w:rPr>
            </w:pPr>
            <w:r>
              <w:rPr>
                <w:rFonts w:hAnsi="黑体" w:eastAsia="黑体"/>
                <w:bCs/>
                <w:color w:val="auto"/>
                <w:kern w:val="0"/>
                <w:sz w:val="30"/>
                <w:szCs w:val="30"/>
              </w:rPr>
              <w:t>项目支出绩效自评表</w:t>
            </w:r>
          </w:p>
          <w:p w14:paraId="16889060">
            <w:pPr>
              <w:widowControl/>
              <w:spacing w:line="400" w:lineRule="exact"/>
              <w:jc w:val="center"/>
              <w:textAlignment w:val="center"/>
              <w:rPr>
                <w:rFonts w:eastAsiaTheme="minorEastAsia"/>
                <w:b/>
                <w:bCs/>
                <w:color w:val="auto"/>
                <w:szCs w:val="21"/>
              </w:rPr>
            </w:pPr>
            <w:r>
              <w:rPr>
                <w:rFonts w:hAnsi="黑体" w:eastAsia="黑体"/>
                <w:bCs/>
                <w:color w:val="auto"/>
                <w:kern w:val="0"/>
                <w:sz w:val="30"/>
                <w:szCs w:val="30"/>
              </w:rPr>
              <w:t>（</w:t>
            </w:r>
            <w:r>
              <w:rPr>
                <w:rFonts w:eastAsia="黑体"/>
                <w:bCs/>
                <w:color w:val="auto"/>
                <w:kern w:val="0"/>
                <w:sz w:val="30"/>
                <w:szCs w:val="30"/>
              </w:rPr>
              <w:t>2025</w:t>
            </w:r>
            <w:r>
              <w:rPr>
                <w:rFonts w:hAnsi="黑体" w:eastAsia="黑体"/>
                <w:bCs/>
                <w:color w:val="auto"/>
                <w:kern w:val="0"/>
                <w:sz w:val="30"/>
                <w:szCs w:val="30"/>
              </w:rPr>
              <w:t>年度）</w:t>
            </w:r>
          </w:p>
        </w:tc>
      </w:tr>
      <w:tr w14:paraId="0293E89E">
        <w:tblPrEx>
          <w:tblCellMar>
            <w:top w:w="0" w:type="dxa"/>
            <w:left w:w="28" w:type="dxa"/>
            <w:bottom w:w="0" w:type="dxa"/>
            <w:right w:w="28" w:type="dxa"/>
          </w:tblCellMar>
        </w:tblPrEx>
        <w:trPr>
          <w:gridAfter w:val="1"/>
          <w:wAfter w:w="97" w:type="dxa"/>
          <w:trHeight w:val="380" w:hRule="atLeast"/>
          <w:jc w:val="center"/>
        </w:trPr>
        <w:tc>
          <w:tcPr>
            <w:tcW w:w="9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46DEE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项目</w:t>
            </w:r>
          </w:p>
          <w:p w14:paraId="10C483F7">
            <w:pPr>
              <w:widowControl/>
              <w:jc w:val="center"/>
              <w:textAlignment w:val="center"/>
              <w:rPr>
                <w:rFonts w:eastAsiaTheme="minorEastAsia"/>
                <w:color w:val="auto"/>
                <w:szCs w:val="21"/>
              </w:rPr>
            </w:pPr>
            <w:r>
              <w:rPr>
                <w:rFonts w:hAnsiTheme="minorEastAsia" w:eastAsiaTheme="minorEastAsia"/>
                <w:color w:val="auto"/>
                <w:kern w:val="0"/>
                <w:szCs w:val="21"/>
              </w:rPr>
              <w:t>名称</w:t>
            </w:r>
          </w:p>
        </w:tc>
        <w:tc>
          <w:tcPr>
            <w:tcW w:w="8591"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70A80D1">
            <w:pPr>
              <w:widowControl/>
              <w:jc w:val="center"/>
              <w:textAlignment w:val="center"/>
              <w:rPr>
                <w:rFonts w:eastAsiaTheme="minorEastAsia"/>
                <w:color w:val="auto"/>
                <w:szCs w:val="21"/>
              </w:rPr>
            </w:pPr>
            <w:r>
              <w:rPr>
                <w:rFonts w:hAnsiTheme="minorEastAsia" w:eastAsiaTheme="minorEastAsia"/>
                <w:color w:val="auto"/>
                <w:kern w:val="0"/>
                <w:szCs w:val="21"/>
              </w:rPr>
              <w:t>国家赔偿资金</w:t>
            </w:r>
          </w:p>
        </w:tc>
      </w:tr>
      <w:tr w14:paraId="0C3F5B0C">
        <w:tblPrEx>
          <w:tblCellMar>
            <w:top w:w="0" w:type="dxa"/>
            <w:left w:w="28" w:type="dxa"/>
            <w:bottom w:w="0" w:type="dxa"/>
            <w:right w:w="28" w:type="dxa"/>
          </w:tblCellMar>
        </w:tblPrEx>
        <w:trPr>
          <w:gridAfter w:val="1"/>
          <w:wAfter w:w="97" w:type="dxa"/>
          <w:trHeight w:val="380" w:hRule="atLeast"/>
          <w:jc w:val="center"/>
        </w:trPr>
        <w:tc>
          <w:tcPr>
            <w:tcW w:w="9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85D6F6">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主管</w:t>
            </w:r>
          </w:p>
          <w:p w14:paraId="34A3F973">
            <w:pPr>
              <w:widowControl/>
              <w:jc w:val="center"/>
              <w:textAlignment w:val="center"/>
              <w:rPr>
                <w:rFonts w:eastAsiaTheme="minorEastAsia"/>
                <w:color w:val="auto"/>
                <w:szCs w:val="21"/>
              </w:rPr>
            </w:pPr>
            <w:r>
              <w:rPr>
                <w:rFonts w:hAnsiTheme="minorEastAsia" w:eastAsiaTheme="minorEastAsia"/>
                <w:color w:val="auto"/>
                <w:kern w:val="0"/>
                <w:szCs w:val="21"/>
              </w:rPr>
              <w:t>部门</w:t>
            </w:r>
          </w:p>
        </w:tc>
        <w:tc>
          <w:tcPr>
            <w:tcW w:w="349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16EC13">
            <w:pPr>
              <w:widowControl/>
              <w:jc w:val="center"/>
              <w:textAlignment w:val="center"/>
              <w:rPr>
                <w:rFonts w:eastAsiaTheme="minorEastAsia"/>
                <w:color w:val="auto"/>
                <w:szCs w:val="21"/>
              </w:rPr>
            </w:pPr>
            <w:r>
              <w:rPr>
                <w:rFonts w:hAnsiTheme="minorEastAsia" w:eastAsiaTheme="minorEastAsia"/>
                <w:color w:val="auto"/>
                <w:kern w:val="0"/>
                <w:szCs w:val="21"/>
              </w:rPr>
              <w:t>内蒙古自治区人民检察院部门</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621E8">
            <w:pPr>
              <w:widowControl/>
              <w:jc w:val="center"/>
              <w:textAlignment w:val="center"/>
              <w:rPr>
                <w:rFonts w:eastAsiaTheme="minorEastAsia"/>
                <w:color w:val="auto"/>
                <w:szCs w:val="21"/>
              </w:rPr>
            </w:pPr>
            <w:r>
              <w:rPr>
                <w:rFonts w:hAnsiTheme="minorEastAsia" w:eastAsiaTheme="minorEastAsia"/>
                <w:color w:val="auto"/>
                <w:kern w:val="0"/>
                <w:szCs w:val="21"/>
              </w:rPr>
              <w:t>实施单位</w:t>
            </w:r>
          </w:p>
        </w:tc>
        <w:tc>
          <w:tcPr>
            <w:tcW w:w="28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B1669B">
            <w:pPr>
              <w:widowControl/>
              <w:jc w:val="center"/>
              <w:textAlignment w:val="center"/>
              <w:rPr>
                <w:rFonts w:eastAsiaTheme="minorEastAsia"/>
                <w:color w:val="auto"/>
                <w:szCs w:val="21"/>
              </w:rPr>
            </w:pPr>
            <w:r>
              <w:rPr>
                <w:rFonts w:hAnsiTheme="minorEastAsia" w:eastAsiaTheme="minorEastAsia"/>
                <w:color w:val="auto"/>
                <w:kern w:val="0"/>
                <w:szCs w:val="21"/>
              </w:rPr>
              <w:t>内蒙古自治区人民检察院</w:t>
            </w:r>
          </w:p>
        </w:tc>
      </w:tr>
      <w:tr w14:paraId="5F033DAF">
        <w:tblPrEx>
          <w:tblCellMar>
            <w:top w:w="0" w:type="dxa"/>
            <w:left w:w="28" w:type="dxa"/>
            <w:bottom w:w="0" w:type="dxa"/>
            <w:right w:w="28" w:type="dxa"/>
          </w:tblCellMar>
        </w:tblPrEx>
        <w:trPr>
          <w:gridAfter w:val="1"/>
          <w:wAfter w:w="97" w:type="dxa"/>
          <w:trHeight w:val="380" w:hRule="atLeast"/>
          <w:jc w:val="center"/>
        </w:trPr>
        <w:tc>
          <w:tcPr>
            <w:tcW w:w="98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BDCAC">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项目</w:t>
            </w:r>
          </w:p>
          <w:p w14:paraId="3C35E854">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资金</w:t>
            </w:r>
          </w:p>
          <w:p w14:paraId="7A3DF3CC">
            <w:pPr>
              <w:widowControl/>
              <w:jc w:val="center"/>
              <w:textAlignment w:val="center"/>
              <w:rPr>
                <w:rFonts w:eastAsiaTheme="minorEastAsia"/>
                <w:color w:val="auto"/>
                <w:szCs w:val="21"/>
              </w:rPr>
            </w:pPr>
            <w:r>
              <w:rPr>
                <w:rFonts w:hAnsiTheme="minorEastAsia" w:eastAsiaTheme="minorEastAsia"/>
                <w:color w:val="auto"/>
                <w:kern w:val="0"/>
                <w:szCs w:val="21"/>
              </w:rPr>
              <w:t>（万元）</w:t>
            </w: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C4F6F">
            <w:pPr>
              <w:rPr>
                <w:rFonts w:eastAsiaTheme="minorEastAsia"/>
                <w:color w:val="auto"/>
                <w:szCs w:val="21"/>
              </w:rPr>
            </w:pP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C33A0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年初</w:t>
            </w:r>
          </w:p>
          <w:p w14:paraId="09321062">
            <w:pPr>
              <w:widowControl/>
              <w:jc w:val="center"/>
              <w:textAlignment w:val="center"/>
              <w:rPr>
                <w:rFonts w:eastAsiaTheme="minorEastAsia"/>
                <w:color w:val="auto"/>
                <w:szCs w:val="21"/>
              </w:rPr>
            </w:pPr>
            <w:r>
              <w:rPr>
                <w:rFonts w:hAnsiTheme="minorEastAsia" w:eastAsiaTheme="minorEastAsia"/>
                <w:color w:val="auto"/>
                <w:kern w:val="0"/>
                <w:szCs w:val="21"/>
              </w:rPr>
              <w:t>预算数</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B47C2">
            <w:pPr>
              <w:widowControl/>
              <w:jc w:val="center"/>
              <w:textAlignment w:val="center"/>
              <w:rPr>
                <w:rFonts w:eastAsiaTheme="minorEastAsia"/>
                <w:color w:val="auto"/>
                <w:szCs w:val="21"/>
              </w:rPr>
            </w:pPr>
            <w:r>
              <w:rPr>
                <w:rFonts w:hAnsiTheme="minorEastAsia" w:eastAsiaTheme="minorEastAsia"/>
                <w:color w:val="auto"/>
                <w:kern w:val="0"/>
                <w:szCs w:val="21"/>
              </w:rPr>
              <w:t>全年预算数</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A17833">
            <w:pPr>
              <w:widowControl/>
              <w:jc w:val="center"/>
              <w:textAlignment w:val="center"/>
              <w:rPr>
                <w:rFonts w:eastAsiaTheme="minorEastAsia"/>
                <w:color w:val="auto"/>
                <w:szCs w:val="21"/>
              </w:rPr>
            </w:pPr>
            <w:r>
              <w:rPr>
                <w:rFonts w:hAnsiTheme="minorEastAsia" w:eastAsiaTheme="minorEastAsia"/>
                <w:color w:val="auto"/>
                <w:kern w:val="0"/>
                <w:szCs w:val="21"/>
              </w:rPr>
              <w:t>全年执行数</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EC4A4">
            <w:pPr>
              <w:widowControl/>
              <w:jc w:val="center"/>
              <w:textAlignment w:val="center"/>
              <w:rPr>
                <w:rFonts w:eastAsiaTheme="minorEastAsia"/>
                <w:color w:val="auto"/>
                <w:szCs w:val="21"/>
              </w:rPr>
            </w:pPr>
            <w:r>
              <w:rPr>
                <w:rFonts w:hAnsiTheme="minorEastAsia" w:eastAsiaTheme="minorEastAsia"/>
                <w:color w:val="auto"/>
                <w:kern w:val="0"/>
                <w:szCs w:val="21"/>
              </w:rPr>
              <w:t>分值</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D013F">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执行率</w:t>
            </w:r>
          </w:p>
          <w:p w14:paraId="01E90A75">
            <w:pPr>
              <w:widowControl/>
              <w:jc w:val="center"/>
              <w:textAlignment w:val="center"/>
              <w:rPr>
                <w:rFonts w:eastAsiaTheme="minorEastAsia"/>
                <w:color w:val="auto"/>
                <w:szCs w:val="21"/>
              </w:rPr>
            </w:pPr>
            <w:r>
              <w:rPr>
                <w:rFonts w:hAnsiTheme="minorEastAsia" w:eastAsiaTheme="minorEastAsia"/>
                <w:color w:val="auto"/>
                <w:kern w:val="0"/>
                <w:szCs w:val="21"/>
              </w:rPr>
              <w:t>（</w:t>
            </w:r>
            <w:r>
              <w:rPr>
                <w:rFonts w:eastAsiaTheme="minorEastAsia"/>
                <w:color w:val="auto"/>
                <w:kern w:val="0"/>
                <w:szCs w:val="21"/>
              </w:rPr>
              <w:t>%</w:t>
            </w:r>
            <w:r>
              <w:rPr>
                <w:rFonts w:hAnsiTheme="minorEastAsia" w:eastAsiaTheme="minorEastAsia"/>
                <w:color w:val="auto"/>
                <w:kern w:val="0"/>
                <w:szCs w:val="21"/>
              </w:rPr>
              <w:t>）</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28EB">
            <w:pPr>
              <w:widowControl/>
              <w:jc w:val="center"/>
              <w:textAlignment w:val="center"/>
              <w:rPr>
                <w:rFonts w:eastAsiaTheme="minorEastAsia"/>
                <w:color w:val="auto"/>
                <w:szCs w:val="21"/>
              </w:rPr>
            </w:pPr>
            <w:r>
              <w:rPr>
                <w:rFonts w:hAnsiTheme="minorEastAsia" w:eastAsiaTheme="minorEastAsia"/>
                <w:color w:val="auto"/>
                <w:kern w:val="0"/>
                <w:szCs w:val="21"/>
              </w:rPr>
              <w:t>得分</w:t>
            </w:r>
          </w:p>
        </w:tc>
      </w:tr>
      <w:tr w14:paraId="79637671">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87630">
            <w:pPr>
              <w:jc w:val="center"/>
              <w:rPr>
                <w:rFonts w:eastAsiaTheme="minorEastAsia"/>
                <w:color w:val="auto"/>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9B5C4">
            <w:pPr>
              <w:widowControl/>
              <w:jc w:val="center"/>
              <w:textAlignment w:val="center"/>
              <w:rPr>
                <w:rFonts w:eastAsiaTheme="minorEastAsia"/>
                <w:color w:val="auto"/>
                <w:szCs w:val="21"/>
              </w:rPr>
            </w:pPr>
            <w:r>
              <w:rPr>
                <w:rFonts w:hAnsiTheme="minorEastAsia" w:eastAsiaTheme="minorEastAsia"/>
                <w:color w:val="auto"/>
                <w:kern w:val="0"/>
                <w:szCs w:val="21"/>
              </w:rPr>
              <w:t>年度资金总额</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A0747">
            <w:pPr>
              <w:widowControl/>
              <w:jc w:val="center"/>
              <w:textAlignment w:val="center"/>
              <w:rPr>
                <w:rFonts w:eastAsiaTheme="minorEastAsia"/>
                <w:color w:val="auto"/>
                <w:szCs w:val="21"/>
              </w:rPr>
            </w:pPr>
            <w:r>
              <w:rPr>
                <w:rFonts w:eastAsiaTheme="minorEastAsia"/>
                <w:color w:val="auto"/>
                <w:kern w:val="0"/>
                <w:szCs w:val="21"/>
              </w:rPr>
              <w:t>0</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67982">
            <w:pPr>
              <w:widowControl/>
              <w:jc w:val="center"/>
              <w:textAlignment w:val="center"/>
              <w:rPr>
                <w:rFonts w:eastAsiaTheme="minorEastAsia"/>
                <w:color w:val="auto"/>
                <w:szCs w:val="21"/>
              </w:rPr>
            </w:pPr>
            <w:r>
              <w:rPr>
                <w:rFonts w:eastAsiaTheme="minorEastAsia"/>
                <w:color w:val="auto"/>
                <w:kern w:val="0"/>
                <w:szCs w:val="21"/>
              </w:rPr>
              <w:t>33.67</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8AFF01">
            <w:pPr>
              <w:widowControl/>
              <w:jc w:val="center"/>
              <w:textAlignment w:val="center"/>
              <w:rPr>
                <w:rFonts w:eastAsiaTheme="minorEastAsia"/>
                <w:color w:val="auto"/>
                <w:szCs w:val="21"/>
              </w:rPr>
            </w:pPr>
            <w:r>
              <w:rPr>
                <w:rFonts w:eastAsiaTheme="minorEastAsia"/>
                <w:color w:val="auto"/>
                <w:kern w:val="0"/>
                <w:szCs w:val="21"/>
              </w:rPr>
              <w:t>33.67</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F3F3B">
            <w:pPr>
              <w:widowControl/>
              <w:jc w:val="center"/>
              <w:textAlignment w:val="center"/>
              <w:rPr>
                <w:rFonts w:eastAsiaTheme="minorEastAsia"/>
                <w:color w:val="auto"/>
                <w:szCs w:val="21"/>
              </w:rPr>
            </w:pPr>
            <w:r>
              <w:rPr>
                <w:rFonts w:eastAsiaTheme="minorEastAsia"/>
                <w:color w:val="auto"/>
                <w:kern w:val="0"/>
                <w:szCs w:val="21"/>
              </w:rPr>
              <w:t>10</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7198B8">
            <w:pPr>
              <w:widowControl/>
              <w:jc w:val="center"/>
              <w:textAlignment w:val="center"/>
              <w:rPr>
                <w:rFonts w:eastAsiaTheme="minorEastAsia"/>
                <w:color w:val="auto"/>
                <w:szCs w:val="21"/>
              </w:rPr>
            </w:pPr>
            <w:r>
              <w:rPr>
                <w:rFonts w:eastAsiaTheme="minorEastAsia"/>
                <w:color w:val="auto"/>
                <w:kern w:val="0"/>
                <w:szCs w:val="21"/>
              </w:rPr>
              <w:t>100.00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5CAD">
            <w:pPr>
              <w:widowControl/>
              <w:jc w:val="center"/>
              <w:textAlignment w:val="center"/>
              <w:rPr>
                <w:rFonts w:eastAsiaTheme="minorEastAsia"/>
                <w:color w:val="auto"/>
                <w:szCs w:val="21"/>
              </w:rPr>
            </w:pPr>
            <w:r>
              <w:rPr>
                <w:rFonts w:eastAsiaTheme="minorEastAsia"/>
                <w:color w:val="auto"/>
                <w:kern w:val="0"/>
                <w:szCs w:val="21"/>
              </w:rPr>
              <w:t>10.00</w:t>
            </w:r>
          </w:p>
        </w:tc>
      </w:tr>
      <w:tr w14:paraId="5F0081B1">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2C4E8">
            <w:pPr>
              <w:jc w:val="center"/>
              <w:rPr>
                <w:rFonts w:eastAsiaTheme="minorEastAsia"/>
                <w:color w:val="auto"/>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DDC22">
            <w:pPr>
              <w:widowControl/>
              <w:jc w:val="left"/>
              <w:textAlignment w:val="center"/>
              <w:rPr>
                <w:rFonts w:eastAsiaTheme="minorEastAsia"/>
                <w:color w:val="auto"/>
                <w:szCs w:val="21"/>
              </w:rPr>
            </w:pPr>
            <w:r>
              <w:rPr>
                <w:rFonts w:hAnsiTheme="minorEastAsia" w:eastAsiaTheme="minorEastAsia"/>
                <w:color w:val="auto"/>
                <w:kern w:val="0"/>
                <w:szCs w:val="21"/>
              </w:rPr>
              <w:t>其中：财政拨款</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68C8D">
            <w:pPr>
              <w:widowControl/>
              <w:jc w:val="center"/>
              <w:textAlignment w:val="center"/>
              <w:rPr>
                <w:rFonts w:eastAsiaTheme="minorEastAsia"/>
                <w:color w:val="auto"/>
                <w:szCs w:val="21"/>
              </w:rPr>
            </w:pPr>
            <w:r>
              <w:rPr>
                <w:rFonts w:eastAsiaTheme="minorEastAsia"/>
                <w:color w:val="auto"/>
                <w:kern w:val="0"/>
                <w:szCs w:val="21"/>
              </w:rPr>
              <w:t>0</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ABFABA">
            <w:pPr>
              <w:widowControl/>
              <w:jc w:val="center"/>
              <w:textAlignment w:val="center"/>
              <w:rPr>
                <w:rFonts w:eastAsiaTheme="minorEastAsia"/>
                <w:color w:val="auto"/>
                <w:szCs w:val="21"/>
              </w:rPr>
            </w:pPr>
            <w:r>
              <w:rPr>
                <w:rFonts w:eastAsiaTheme="minorEastAsia"/>
                <w:color w:val="auto"/>
                <w:kern w:val="0"/>
                <w:szCs w:val="21"/>
              </w:rPr>
              <w:t>33.67</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4D346C">
            <w:pPr>
              <w:widowControl/>
              <w:jc w:val="center"/>
              <w:textAlignment w:val="center"/>
              <w:rPr>
                <w:rFonts w:eastAsiaTheme="minorEastAsia"/>
                <w:color w:val="auto"/>
                <w:szCs w:val="21"/>
              </w:rPr>
            </w:pPr>
            <w:r>
              <w:rPr>
                <w:rFonts w:eastAsiaTheme="minorEastAsia"/>
                <w:color w:val="auto"/>
                <w:kern w:val="0"/>
                <w:szCs w:val="21"/>
              </w:rPr>
              <w:t>33.67</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714E5">
            <w:pPr>
              <w:widowControl/>
              <w:jc w:val="center"/>
              <w:textAlignment w:val="center"/>
              <w:rPr>
                <w:rFonts w:eastAsiaTheme="minorEastAsia"/>
                <w:color w:val="auto"/>
                <w:szCs w:val="21"/>
              </w:rPr>
            </w:pPr>
            <w:r>
              <w:rPr>
                <w:rFonts w:eastAsiaTheme="minorEastAsia"/>
                <w:color w:val="auto"/>
                <w:kern w:val="0"/>
                <w:szCs w:val="21"/>
              </w:rPr>
              <w:t>——</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F5865B">
            <w:pPr>
              <w:widowControl/>
              <w:jc w:val="center"/>
              <w:textAlignment w:val="center"/>
              <w:rPr>
                <w:rFonts w:eastAsiaTheme="minorEastAsia"/>
                <w:color w:val="auto"/>
                <w:szCs w:val="21"/>
              </w:rPr>
            </w:pPr>
            <w:r>
              <w:rPr>
                <w:rFonts w:eastAsiaTheme="minorEastAsia"/>
                <w:color w:val="auto"/>
                <w:kern w:val="0"/>
                <w:szCs w:val="21"/>
              </w:rPr>
              <w:t>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1879">
            <w:pPr>
              <w:widowControl/>
              <w:jc w:val="center"/>
              <w:textAlignment w:val="center"/>
              <w:rPr>
                <w:rFonts w:eastAsiaTheme="minorEastAsia"/>
                <w:color w:val="auto"/>
                <w:szCs w:val="21"/>
              </w:rPr>
            </w:pPr>
            <w:r>
              <w:rPr>
                <w:rFonts w:eastAsiaTheme="minorEastAsia"/>
                <w:color w:val="auto"/>
                <w:kern w:val="0"/>
                <w:szCs w:val="21"/>
              </w:rPr>
              <w:t>——</w:t>
            </w:r>
          </w:p>
        </w:tc>
      </w:tr>
      <w:tr w14:paraId="1160274A">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A5D5C">
            <w:pPr>
              <w:jc w:val="center"/>
              <w:rPr>
                <w:rFonts w:eastAsiaTheme="minorEastAsia"/>
                <w:color w:val="auto"/>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5B6DF">
            <w:pPr>
              <w:widowControl/>
              <w:jc w:val="center"/>
              <w:textAlignment w:val="center"/>
              <w:rPr>
                <w:rFonts w:eastAsiaTheme="minorEastAsia"/>
                <w:color w:val="auto"/>
                <w:szCs w:val="21"/>
              </w:rPr>
            </w:pPr>
            <w:r>
              <w:rPr>
                <w:rFonts w:hAnsiTheme="minorEastAsia" w:eastAsiaTheme="minorEastAsia"/>
                <w:color w:val="auto"/>
                <w:kern w:val="0"/>
                <w:szCs w:val="21"/>
              </w:rPr>
              <w:t>上年结转资金</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7FFD4">
            <w:pPr>
              <w:jc w:val="center"/>
              <w:rPr>
                <w:rFonts w:eastAsiaTheme="minorEastAsia"/>
                <w:color w:val="auto"/>
                <w:szCs w:val="21"/>
              </w:rPr>
            </w:pP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48C21">
            <w:pPr>
              <w:jc w:val="center"/>
              <w:rPr>
                <w:rFonts w:eastAsiaTheme="minorEastAsia"/>
                <w:color w:val="auto"/>
                <w:szCs w:val="21"/>
              </w:rPr>
            </w:pP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4A9F48">
            <w:pPr>
              <w:jc w:val="center"/>
              <w:rPr>
                <w:rFonts w:eastAsiaTheme="minorEastAsia"/>
                <w:color w:val="auto"/>
                <w:szCs w:val="21"/>
              </w:rPr>
            </w:pP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54D9">
            <w:pPr>
              <w:widowControl/>
              <w:jc w:val="center"/>
              <w:textAlignment w:val="center"/>
              <w:rPr>
                <w:rFonts w:eastAsiaTheme="minorEastAsia"/>
                <w:color w:val="auto"/>
                <w:szCs w:val="21"/>
              </w:rPr>
            </w:pPr>
            <w:r>
              <w:rPr>
                <w:rFonts w:eastAsiaTheme="minorEastAsia"/>
                <w:color w:val="auto"/>
                <w:kern w:val="0"/>
                <w:szCs w:val="21"/>
              </w:rPr>
              <w:t>——</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0D6EF0">
            <w:pPr>
              <w:jc w:val="center"/>
              <w:rPr>
                <w:rFonts w:eastAsiaTheme="minorEastAsia"/>
                <w:color w:val="auto"/>
                <w:szCs w:val="21"/>
              </w:rPr>
            </w:pP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719">
            <w:pPr>
              <w:widowControl/>
              <w:jc w:val="center"/>
              <w:textAlignment w:val="center"/>
              <w:rPr>
                <w:rFonts w:eastAsiaTheme="minorEastAsia"/>
                <w:color w:val="auto"/>
                <w:szCs w:val="21"/>
              </w:rPr>
            </w:pPr>
            <w:r>
              <w:rPr>
                <w:rFonts w:eastAsiaTheme="minorEastAsia"/>
                <w:color w:val="auto"/>
                <w:kern w:val="0"/>
                <w:szCs w:val="21"/>
              </w:rPr>
              <w:t>——</w:t>
            </w:r>
          </w:p>
        </w:tc>
      </w:tr>
      <w:tr w14:paraId="242B19A0">
        <w:tblPrEx>
          <w:tblCellMar>
            <w:top w:w="0" w:type="dxa"/>
            <w:left w:w="28" w:type="dxa"/>
            <w:bottom w:w="0" w:type="dxa"/>
            <w:right w:w="28" w:type="dxa"/>
          </w:tblCellMar>
        </w:tblPrEx>
        <w:trPr>
          <w:gridAfter w:val="1"/>
          <w:wAfter w:w="97" w:type="dxa"/>
          <w:trHeight w:val="3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AA678">
            <w:pPr>
              <w:jc w:val="center"/>
              <w:rPr>
                <w:rFonts w:eastAsiaTheme="minorEastAsia"/>
                <w:color w:val="auto"/>
                <w:szCs w:val="21"/>
              </w:rPr>
            </w:pP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EC0BA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其他</w:t>
            </w:r>
          </w:p>
          <w:p w14:paraId="7B436A91">
            <w:pPr>
              <w:widowControl/>
              <w:jc w:val="center"/>
              <w:textAlignment w:val="center"/>
              <w:rPr>
                <w:rFonts w:eastAsiaTheme="minorEastAsia"/>
                <w:color w:val="auto"/>
                <w:szCs w:val="21"/>
              </w:rPr>
            </w:pPr>
            <w:r>
              <w:rPr>
                <w:rFonts w:hAnsiTheme="minorEastAsia" w:eastAsiaTheme="minorEastAsia"/>
                <w:color w:val="auto"/>
                <w:kern w:val="0"/>
                <w:szCs w:val="21"/>
              </w:rPr>
              <w:t>资金</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0FB82">
            <w:pPr>
              <w:widowControl/>
              <w:jc w:val="center"/>
              <w:textAlignment w:val="center"/>
              <w:rPr>
                <w:rFonts w:eastAsiaTheme="minorEastAsia"/>
                <w:color w:val="auto"/>
                <w:szCs w:val="21"/>
              </w:rPr>
            </w:pPr>
            <w:r>
              <w:rPr>
                <w:rFonts w:eastAsiaTheme="minorEastAsia"/>
                <w:color w:val="auto"/>
                <w:kern w:val="0"/>
                <w:szCs w:val="21"/>
              </w:rPr>
              <w:t>0</w:t>
            </w:r>
          </w:p>
        </w:tc>
        <w:tc>
          <w:tcPr>
            <w:tcW w:w="12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F5288C">
            <w:pPr>
              <w:widowControl/>
              <w:jc w:val="center"/>
              <w:textAlignment w:val="center"/>
              <w:rPr>
                <w:rFonts w:eastAsiaTheme="minorEastAsia"/>
                <w:color w:val="auto"/>
                <w:szCs w:val="21"/>
              </w:rPr>
            </w:pPr>
            <w:r>
              <w:rPr>
                <w:rFonts w:eastAsiaTheme="minorEastAsia"/>
                <w:color w:val="auto"/>
                <w:kern w:val="0"/>
                <w:szCs w:val="21"/>
              </w:rPr>
              <w:t>0</w:t>
            </w:r>
          </w:p>
        </w:tc>
        <w:tc>
          <w:tcPr>
            <w:tcW w:w="220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7475D9">
            <w:pPr>
              <w:widowControl/>
              <w:jc w:val="center"/>
              <w:textAlignment w:val="center"/>
              <w:rPr>
                <w:rFonts w:eastAsiaTheme="minorEastAsia"/>
                <w:color w:val="auto"/>
                <w:szCs w:val="21"/>
              </w:rPr>
            </w:pPr>
            <w:r>
              <w:rPr>
                <w:rFonts w:eastAsiaTheme="minorEastAsia"/>
                <w:color w:val="auto"/>
                <w:kern w:val="0"/>
                <w:szCs w:val="21"/>
              </w:rPr>
              <w:t>0</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628A">
            <w:pPr>
              <w:widowControl/>
              <w:jc w:val="center"/>
              <w:textAlignment w:val="center"/>
              <w:rPr>
                <w:rFonts w:eastAsiaTheme="minorEastAsia"/>
                <w:color w:val="auto"/>
                <w:szCs w:val="21"/>
              </w:rPr>
            </w:pPr>
            <w:r>
              <w:rPr>
                <w:rFonts w:eastAsiaTheme="minorEastAsia"/>
                <w:color w:val="auto"/>
                <w:kern w:val="0"/>
                <w:szCs w:val="21"/>
              </w:rPr>
              <w:t>——</w:t>
            </w:r>
          </w:p>
        </w:tc>
        <w:tc>
          <w:tcPr>
            <w:tcW w:w="134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89D4E7">
            <w:pPr>
              <w:widowControl/>
              <w:jc w:val="center"/>
              <w:textAlignment w:val="center"/>
              <w:rPr>
                <w:rFonts w:eastAsiaTheme="minorEastAsia"/>
                <w:color w:val="auto"/>
                <w:szCs w:val="21"/>
              </w:rPr>
            </w:pPr>
            <w:r>
              <w:rPr>
                <w:rFonts w:eastAsiaTheme="minorEastAsia"/>
                <w:color w:val="auto"/>
                <w:kern w:val="0"/>
                <w:szCs w:val="21"/>
              </w:rPr>
              <w:t>0</w:t>
            </w:r>
          </w:p>
        </w:tc>
        <w:tc>
          <w:tcPr>
            <w:tcW w:w="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D8DF">
            <w:pPr>
              <w:widowControl/>
              <w:jc w:val="center"/>
              <w:textAlignment w:val="center"/>
              <w:rPr>
                <w:rFonts w:eastAsiaTheme="minorEastAsia"/>
                <w:color w:val="auto"/>
                <w:szCs w:val="21"/>
              </w:rPr>
            </w:pPr>
            <w:r>
              <w:rPr>
                <w:rFonts w:eastAsiaTheme="minorEastAsia"/>
                <w:color w:val="auto"/>
                <w:kern w:val="0"/>
                <w:szCs w:val="21"/>
              </w:rPr>
              <w:t>——</w:t>
            </w:r>
          </w:p>
        </w:tc>
      </w:tr>
      <w:tr w14:paraId="12705EA5">
        <w:tblPrEx>
          <w:tblCellMar>
            <w:top w:w="0" w:type="dxa"/>
            <w:left w:w="28" w:type="dxa"/>
            <w:bottom w:w="0" w:type="dxa"/>
            <w:right w:w="28" w:type="dxa"/>
          </w:tblCellMar>
        </w:tblPrEx>
        <w:trPr>
          <w:gridAfter w:val="1"/>
          <w:wAfter w:w="97" w:type="dxa"/>
          <w:trHeight w:val="380" w:hRule="atLeast"/>
          <w:jc w:val="center"/>
        </w:trPr>
        <w:tc>
          <w:tcPr>
            <w:tcW w:w="981"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07579">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年度</w:t>
            </w:r>
          </w:p>
          <w:p w14:paraId="15CC8001">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总体</w:t>
            </w:r>
          </w:p>
          <w:p w14:paraId="05EE5296">
            <w:pPr>
              <w:widowControl/>
              <w:jc w:val="center"/>
              <w:textAlignment w:val="center"/>
              <w:rPr>
                <w:rFonts w:eastAsiaTheme="minorEastAsia"/>
                <w:color w:val="auto"/>
                <w:szCs w:val="21"/>
              </w:rPr>
            </w:pPr>
            <w:r>
              <w:rPr>
                <w:rFonts w:hAnsiTheme="minorEastAsia" w:eastAsiaTheme="minorEastAsia"/>
                <w:color w:val="auto"/>
                <w:kern w:val="0"/>
                <w:szCs w:val="21"/>
              </w:rPr>
              <w:t>目标</w:t>
            </w:r>
          </w:p>
        </w:tc>
        <w:tc>
          <w:tcPr>
            <w:tcW w:w="4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0FD5E5">
            <w:pPr>
              <w:widowControl/>
              <w:jc w:val="center"/>
              <w:textAlignment w:val="center"/>
              <w:rPr>
                <w:rFonts w:eastAsiaTheme="minorEastAsia"/>
                <w:color w:val="auto"/>
                <w:szCs w:val="21"/>
              </w:rPr>
            </w:pPr>
            <w:r>
              <w:rPr>
                <w:rFonts w:hAnsiTheme="minorEastAsia" w:eastAsiaTheme="minorEastAsia"/>
                <w:color w:val="auto"/>
                <w:kern w:val="0"/>
                <w:szCs w:val="21"/>
              </w:rPr>
              <w:t>预期目标</w:t>
            </w:r>
          </w:p>
        </w:tc>
        <w:tc>
          <w:tcPr>
            <w:tcW w:w="402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AF6DD6">
            <w:pPr>
              <w:widowControl/>
              <w:jc w:val="center"/>
              <w:textAlignment w:val="center"/>
              <w:rPr>
                <w:rFonts w:eastAsiaTheme="minorEastAsia"/>
                <w:color w:val="auto"/>
                <w:szCs w:val="21"/>
              </w:rPr>
            </w:pPr>
            <w:r>
              <w:rPr>
                <w:rFonts w:hAnsiTheme="minorEastAsia" w:eastAsiaTheme="minorEastAsia"/>
                <w:color w:val="auto"/>
                <w:kern w:val="0"/>
                <w:szCs w:val="21"/>
              </w:rPr>
              <w:t>实际完成情况</w:t>
            </w:r>
          </w:p>
        </w:tc>
      </w:tr>
      <w:tr w14:paraId="57EB3156">
        <w:tblPrEx>
          <w:tblCellMar>
            <w:top w:w="0" w:type="dxa"/>
            <w:left w:w="28" w:type="dxa"/>
            <w:bottom w:w="0" w:type="dxa"/>
            <w:right w:w="28" w:type="dxa"/>
          </w:tblCellMar>
        </w:tblPrEx>
        <w:trPr>
          <w:gridAfter w:val="1"/>
          <w:wAfter w:w="97" w:type="dxa"/>
          <w:trHeight w:val="1980" w:hRule="atLeast"/>
          <w:jc w:val="center"/>
        </w:trPr>
        <w:tc>
          <w:tcPr>
            <w:tcW w:w="981"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97E80">
            <w:pPr>
              <w:jc w:val="center"/>
              <w:rPr>
                <w:rFonts w:eastAsiaTheme="minorEastAsia"/>
                <w:color w:val="auto"/>
                <w:szCs w:val="21"/>
              </w:rPr>
            </w:pPr>
          </w:p>
        </w:tc>
        <w:tc>
          <w:tcPr>
            <w:tcW w:w="457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1C65AC">
            <w:pPr>
              <w:widowControl/>
              <w:textAlignment w:val="center"/>
              <w:rPr>
                <w:rFonts w:eastAsiaTheme="minorEastAsia"/>
                <w:color w:val="auto"/>
                <w:szCs w:val="21"/>
              </w:rPr>
            </w:pPr>
            <w:r>
              <w:rPr>
                <w:rFonts w:hAnsiTheme="minorEastAsia" w:eastAsiaTheme="minorEastAsia"/>
                <w:color w:val="auto"/>
                <w:kern w:val="0"/>
                <w:szCs w:val="21"/>
              </w:rPr>
              <w:t>根据《中华人民共和国国家赔偿法》、《内蒙古自治区人民检察院关于商请追加国家赔偿金的函》（内检函【</w:t>
            </w:r>
            <w:r>
              <w:rPr>
                <w:rFonts w:eastAsiaTheme="minorEastAsia"/>
                <w:color w:val="auto"/>
                <w:kern w:val="0"/>
                <w:szCs w:val="21"/>
              </w:rPr>
              <w:t>2025</w:t>
            </w:r>
            <w:r>
              <w:rPr>
                <w:rFonts w:hAnsiTheme="minorEastAsia" w:eastAsiaTheme="minorEastAsia"/>
                <w:color w:val="auto"/>
                <w:kern w:val="0"/>
                <w:szCs w:val="21"/>
              </w:rPr>
              <w:t>】</w:t>
            </w:r>
            <w:r>
              <w:rPr>
                <w:rFonts w:eastAsiaTheme="minorEastAsia"/>
                <w:color w:val="auto"/>
                <w:kern w:val="0"/>
                <w:szCs w:val="21"/>
              </w:rPr>
              <w:t>8</w:t>
            </w:r>
            <w:r>
              <w:rPr>
                <w:rFonts w:hAnsiTheme="minorEastAsia" w:eastAsiaTheme="minorEastAsia"/>
                <w:color w:val="auto"/>
                <w:kern w:val="0"/>
                <w:szCs w:val="21"/>
              </w:rPr>
              <w:t>号）对袁连标进行国家赔偿</w:t>
            </w:r>
            <w:r>
              <w:rPr>
                <w:rFonts w:eastAsiaTheme="minorEastAsia"/>
                <w:color w:val="auto"/>
                <w:kern w:val="0"/>
                <w:szCs w:val="21"/>
              </w:rPr>
              <w:t>,</w:t>
            </w:r>
            <w:r>
              <w:rPr>
                <w:rFonts w:hAnsiTheme="minorEastAsia" w:eastAsiaTheme="minorEastAsia"/>
                <w:color w:val="auto"/>
                <w:kern w:val="0"/>
                <w:szCs w:val="21"/>
              </w:rPr>
              <w:t>通过依法、公正、高效地处理赔偿事件，保障公民的合法权益，维护社会公平正义，提升政府公信力和法治水平，消除案件对社会影响。</w:t>
            </w:r>
          </w:p>
        </w:tc>
        <w:tc>
          <w:tcPr>
            <w:tcW w:w="402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39AAFC">
            <w:pPr>
              <w:widowControl/>
              <w:textAlignment w:val="center"/>
              <w:rPr>
                <w:rFonts w:eastAsiaTheme="minorEastAsia"/>
                <w:color w:val="auto"/>
                <w:spacing w:val="-4"/>
                <w:szCs w:val="21"/>
              </w:rPr>
            </w:pPr>
            <w:r>
              <w:rPr>
                <w:rFonts w:eastAsiaTheme="minorEastAsia"/>
                <w:color w:val="auto"/>
                <w:spacing w:val="-4"/>
                <w:kern w:val="0"/>
                <w:szCs w:val="21"/>
              </w:rPr>
              <w:t>2025</w:t>
            </w:r>
            <w:r>
              <w:rPr>
                <w:rFonts w:hAnsiTheme="minorEastAsia" w:eastAsiaTheme="minorEastAsia"/>
                <w:color w:val="auto"/>
                <w:spacing w:val="-4"/>
                <w:kern w:val="0"/>
                <w:szCs w:val="21"/>
              </w:rPr>
              <w:t>年度国家赔偿资金项目实际完成情况良好，各项指标全面达成预期目标；项目依据相关法规及函件要求，完成袁连标</w:t>
            </w:r>
            <w:r>
              <w:rPr>
                <w:rFonts w:eastAsiaTheme="minorEastAsia"/>
                <w:color w:val="auto"/>
                <w:spacing w:val="-4"/>
                <w:kern w:val="0"/>
                <w:szCs w:val="21"/>
              </w:rPr>
              <w:t>1</w:t>
            </w:r>
            <w:r>
              <w:rPr>
                <w:rFonts w:hAnsiTheme="minorEastAsia" w:eastAsiaTheme="minorEastAsia"/>
                <w:color w:val="auto"/>
                <w:spacing w:val="-4"/>
                <w:kern w:val="0"/>
                <w:szCs w:val="21"/>
              </w:rPr>
              <w:t>件国家赔偿案件的处理，案件处理符合法律规定质量标准，赔偿总成本及单位平均赔偿成本均严格执行预算标准；国家赔偿处理及赔偿请求人领取赔偿金均及时完成；满足赔偿请求人精神抚慰需求，且赔偿请求人满意度达</w:t>
            </w:r>
            <w:r>
              <w:rPr>
                <w:rFonts w:eastAsiaTheme="minorEastAsia"/>
                <w:color w:val="auto"/>
                <w:spacing w:val="-4"/>
                <w:kern w:val="0"/>
                <w:szCs w:val="21"/>
              </w:rPr>
              <w:t>90%</w:t>
            </w:r>
            <w:r>
              <w:rPr>
                <w:rFonts w:hAnsiTheme="minorEastAsia" w:eastAsiaTheme="minorEastAsia"/>
                <w:color w:val="auto"/>
                <w:spacing w:val="-4"/>
                <w:kern w:val="0"/>
                <w:szCs w:val="21"/>
              </w:rPr>
              <w:t>的预期标准。总体而言，项目在案件处理、资金使用、社会效益及服务对象满意度等方面均圆满达成年度目标。</w:t>
            </w:r>
          </w:p>
        </w:tc>
      </w:tr>
      <w:tr w14:paraId="069BE4C4">
        <w:tblPrEx>
          <w:tblCellMar>
            <w:top w:w="0" w:type="dxa"/>
            <w:left w:w="28" w:type="dxa"/>
            <w:bottom w:w="0" w:type="dxa"/>
            <w:right w:w="28" w:type="dxa"/>
          </w:tblCellMar>
        </w:tblPrEx>
        <w:trPr>
          <w:gridAfter w:val="1"/>
          <w:wAfter w:w="97" w:type="dxa"/>
          <w:trHeight w:val="1500" w:hRule="atLeast"/>
          <w:jc w:val="center"/>
        </w:trPr>
        <w:tc>
          <w:tcPr>
            <w:tcW w:w="4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A56B1">
            <w:pPr>
              <w:widowControl/>
              <w:jc w:val="center"/>
              <w:textAlignment w:val="center"/>
              <w:rPr>
                <w:rFonts w:eastAsiaTheme="minorEastAsia"/>
                <w:color w:val="auto"/>
                <w:szCs w:val="21"/>
              </w:rPr>
            </w:pPr>
            <w:r>
              <w:rPr>
                <w:rFonts w:hAnsiTheme="minorEastAsia" w:eastAsiaTheme="minorEastAsia"/>
                <w:color w:val="auto"/>
                <w:kern w:val="0"/>
                <w:szCs w:val="21"/>
              </w:rPr>
              <w:t>绩效指标</w:t>
            </w:r>
          </w:p>
        </w:tc>
        <w:tc>
          <w:tcPr>
            <w:tcW w:w="5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384FC">
            <w:pPr>
              <w:widowControl/>
              <w:jc w:val="center"/>
              <w:textAlignment w:val="center"/>
              <w:rPr>
                <w:rFonts w:eastAsiaTheme="minorEastAsia"/>
                <w:color w:val="auto"/>
                <w:szCs w:val="21"/>
              </w:rPr>
            </w:pPr>
            <w:r>
              <w:rPr>
                <w:rFonts w:hAnsiTheme="minorEastAsia" w:eastAsiaTheme="minorEastAsia"/>
                <w:color w:val="auto"/>
                <w:kern w:val="0"/>
                <w:szCs w:val="21"/>
              </w:rPr>
              <w:t>一级指标</w:t>
            </w:r>
          </w:p>
        </w:tc>
        <w:tc>
          <w:tcPr>
            <w:tcW w:w="8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1181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二级</w:t>
            </w:r>
          </w:p>
          <w:p w14:paraId="487DD1F3">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772E0">
            <w:pPr>
              <w:widowControl/>
              <w:jc w:val="center"/>
              <w:textAlignment w:val="center"/>
              <w:rPr>
                <w:rFonts w:eastAsiaTheme="minorEastAsia"/>
                <w:color w:val="auto"/>
                <w:szCs w:val="21"/>
              </w:rPr>
            </w:pPr>
            <w:r>
              <w:rPr>
                <w:rFonts w:hAnsiTheme="minorEastAsia" w:eastAsiaTheme="minorEastAsia"/>
                <w:color w:val="auto"/>
                <w:kern w:val="0"/>
                <w:szCs w:val="21"/>
              </w:rPr>
              <w:t>三级指标</w:t>
            </w:r>
          </w:p>
        </w:tc>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6D02">
            <w:pPr>
              <w:widowControl/>
              <w:jc w:val="center"/>
              <w:textAlignment w:val="center"/>
              <w:rPr>
                <w:rFonts w:eastAsiaTheme="minorEastAsia"/>
                <w:color w:val="auto"/>
                <w:szCs w:val="21"/>
              </w:rPr>
            </w:pPr>
            <w:r>
              <w:rPr>
                <w:rFonts w:hAnsiTheme="minorEastAsia" w:eastAsiaTheme="minorEastAsia"/>
                <w:color w:val="auto"/>
                <w:kern w:val="0"/>
                <w:szCs w:val="21"/>
              </w:rPr>
              <w:t>指标性质</w:t>
            </w:r>
          </w:p>
        </w:tc>
        <w:tc>
          <w:tcPr>
            <w:tcW w:w="6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F5997">
            <w:pPr>
              <w:widowControl/>
              <w:jc w:val="center"/>
              <w:textAlignment w:val="center"/>
              <w:rPr>
                <w:rFonts w:eastAsiaTheme="minorEastAsia"/>
                <w:color w:val="auto"/>
                <w:szCs w:val="21"/>
              </w:rPr>
            </w:pPr>
            <w:r>
              <w:rPr>
                <w:rFonts w:hAnsiTheme="minorEastAsia" w:eastAsiaTheme="minorEastAsia"/>
                <w:color w:val="auto"/>
                <w:kern w:val="0"/>
                <w:szCs w:val="21"/>
              </w:rPr>
              <w:t>指标方向</w:t>
            </w:r>
          </w:p>
        </w:tc>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4C802">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年度</w:t>
            </w:r>
          </w:p>
          <w:p w14:paraId="40CC1887">
            <w:pPr>
              <w:widowControl/>
              <w:jc w:val="center"/>
              <w:textAlignment w:val="center"/>
              <w:rPr>
                <w:rFonts w:eastAsiaTheme="minorEastAsia"/>
                <w:color w:val="auto"/>
                <w:szCs w:val="21"/>
              </w:rPr>
            </w:pPr>
            <w:r>
              <w:rPr>
                <w:rFonts w:hAnsiTheme="minorEastAsia" w:eastAsiaTheme="minorEastAsia"/>
                <w:color w:val="auto"/>
                <w:kern w:val="0"/>
                <w:szCs w:val="21"/>
              </w:rPr>
              <w:t>指标值</w:t>
            </w:r>
          </w:p>
        </w:tc>
        <w:tc>
          <w:tcPr>
            <w:tcW w:w="11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DEF10">
            <w:pPr>
              <w:widowControl/>
              <w:jc w:val="center"/>
              <w:textAlignment w:val="center"/>
              <w:rPr>
                <w:rFonts w:eastAsiaTheme="minorEastAsia"/>
                <w:color w:val="auto"/>
                <w:szCs w:val="21"/>
              </w:rPr>
            </w:pPr>
            <w:r>
              <w:rPr>
                <w:rFonts w:hAnsiTheme="minorEastAsia" w:eastAsiaTheme="minorEastAsia"/>
                <w:color w:val="auto"/>
                <w:kern w:val="0"/>
                <w:szCs w:val="21"/>
              </w:rPr>
              <w:t>实际完成值</w:t>
            </w:r>
          </w:p>
        </w:tc>
        <w:tc>
          <w:tcPr>
            <w:tcW w:w="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DB2886">
            <w:pPr>
              <w:widowControl/>
              <w:jc w:val="center"/>
              <w:textAlignment w:val="center"/>
              <w:rPr>
                <w:rFonts w:eastAsiaTheme="minorEastAsia"/>
                <w:color w:val="auto"/>
                <w:szCs w:val="21"/>
              </w:rPr>
            </w:pPr>
            <w:r>
              <w:rPr>
                <w:rFonts w:hAnsiTheme="minorEastAsia" w:eastAsiaTheme="minorEastAsia"/>
                <w:color w:val="auto"/>
                <w:kern w:val="0"/>
                <w:szCs w:val="21"/>
              </w:rPr>
              <w:t>计量单位</w:t>
            </w:r>
          </w:p>
        </w:tc>
        <w:tc>
          <w:tcPr>
            <w:tcW w:w="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58C3C">
            <w:pPr>
              <w:widowControl/>
              <w:jc w:val="center"/>
              <w:textAlignment w:val="center"/>
              <w:rPr>
                <w:rFonts w:eastAsiaTheme="minorEastAsia"/>
                <w:color w:val="auto"/>
                <w:szCs w:val="21"/>
              </w:rPr>
            </w:pPr>
            <w:r>
              <w:rPr>
                <w:rFonts w:hAnsiTheme="minorEastAsia" w:eastAsiaTheme="minorEastAsia"/>
                <w:color w:val="auto"/>
                <w:kern w:val="0"/>
                <w:szCs w:val="21"/>
              </w:rPr>
              <w:t>分值</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4701">
            <w:pPr>
              <w:widowControl/>
              <w:jc w:val="center"/>
              <w:textAlignment w:val="center"/>
              <w:rPr>
                <w:rFonts w:eastAsiaTheme="minorEastAsia"/>
                <w:color w:val="auto"/>
                <w:szCs w:val="21"/>
              </w:rPr>
            </w:pPr>
            <w:r>
              <w:rPr>
                <w:rFonts w:hAnsiTheme="minorEastAsia" w:eastAsiaTheme="minorEastAsia"/>
                <w:color w:val="auto"/>
                <w:kern w:val="0"/>
                <w:szCs w:val="21"/>
              </w:rPr>
              <w:t>得分</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111D">
            <w:pPr>
              <w:widowControl/>
              <w:jc w:val="center"/>
              <w:textAlignment w:val="center"/>
              <w:rPr>
                <w:rFonts w:eastAsiaTheme="minorEastAsia"/>
                <w:color w:val="auto"/>
                <w:szCs w:val="21"/>
              </w:rPr>
            </w:pPr>
            <w:r>
              <w:rPr>
                <w:rFonts w:hAnsiTheme="minorEastAsia" w:eastAsiaTheme="minorEastAsia"/>
                <w:color w:val="auto"/>
                <w:kern w:val="0"/>
                <w:szCs w:val="21"/>
              </w:rPr>
              <w:t>偏差原因分析及改进措施</w:t>
            </w:r>
          </w:p>
        </w:tc>
      </w:tr>
      <w:tr w14:paraId="7512213F">
        <w:tblPrEx>
          <w:tblCellMar>
            <w:top w:w="0" w:type="dxa"/>
            <w:left w:w="28" w:type="dxa"/>
            <w:bottom w:w="0" w:type="dxa"/>
            <w:right w:w="28" w:type="dxa"/>
          </w:tblCellMar>
        </w:tblPrEx>
        <w:trPr>
          <w:gridAfter w:val="1"/>
          <w:wAfter w:w="97" w:type="dxa"/>
          <w:trHeight w:val="840" w:hRule="atLeast"/>
          <w:jc w:val="center"/>
        </w:trPr>
        <w:tc>
          <w:tcPr>
            <w:tcW w:w="430"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59CFAB6F">
            <w:pPr>
              <w:widowControl/>
              <w:jc w:val="center"/>
              <w:textAlignment w:val="center"/>
              <w:rPr>
                <w:rFonts w:eastAsiaTheme="minorEastAsia"/>
                <w:color w:val="auto"/>
                <w:szCs w:val="21"/>
              </w:rPr>
            </w:pPr>
            <w:r>
              <w:rPr>
                <w:rFonts w:hAnsiTheme="minorEastAsia" w:eastAsiaTheme="minorEastAsia"/>
                <w:color w:val="auto"/>
                <w:kern w:val="0"/>
                <w:szCs w:val="21"/>
              </w:rPr>
              <w:t>绩效指标</w:t>
            </w:r>
          </w:p>
        </w:tc>
        <w:tc>
          <w:tcPr>
            <w:tcW w:w="55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2BDA1AE">
            <w:pPr>
              <w:widowControl/>
              <w:jc w:val="center"/>
              <w:textAlignment w:val="center"/>
              <w:rPr>
                <w:rFonts w:eastAsiaTheme="minorEastAsia"/>
                <w:color w:val="auto"/>
                <w:szCs w:val="21"/>
              </w:rPr>
            </w:pPr>
            <w:r>
              <w:rPr>
                <w:rFonts w:hAnsiTheme="minorEastAsia" w:eastAsiaTheme="minorEastAsia"/>
                <w:color w:val="auto"/>
                <w:kern w:val="0"/>
                <w:szCs w:val="21"/>
              </w:rPr>
              <w:t>产出指标</w:t>
            </w: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959976F">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数量</w:t>
            </w:r>
          </w:p>
          <w:p w14:paraId="0078C327">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5E7255A6">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赔偿案件</w:t>
            </w:r>
          </w:p>
          <w:p w14:paraId="2CA29ACE">
            <w:pPr>
              <w:widowControl/>
              <w:jc w:val="center"/>
              <w:textAlignment w:val="center"/>
              <w:rPr>
                <w:rFonts w:eastAsiaTheme="minorEastAsia"/>
                <w:color w:val="auto"/>
                <w:szCs w:val="21"/>
              </w:rPr>
            </w:pPr>
            <w:r>
              <w:rPr>
                <w:rFonts w:hAnsiTheme="minorEastAsia" w:eastAsiaTheme="minorEastAsia"/>
                <w:color w:val="auto"/>
                <w:kern w:val="0"/>
                <w:szCs w:val="21"/>
              </w:rPr>
              <w:t>处理数量</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C8DEADA">
            <w:pPr>
              <w:widowControl/>
              <w:jc w:val="center"/>
              <w:textAlignment w:val="center"/>
              <w:rPr>
                <w:rFonts w:eastAsiaTheme="minorEastAsia"/>
                <w:color w:val="auto"/>
                <w:szCs w:val="21"/>
              </w:rPr>
            </w:pPr>
            <w:r>
              <w:rPr>
                <w:rFonts w:hAnsiTheme="minorEastAsia" w:eastAsiaTheme="minorEastAsia"/>
                <w:color w:val="auto"/>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2C463538">
            <w:pPr>
              <w:widowControl/>
              <w:jc w:val="center"/>
              <w:textAlignment w:val="center"/>
              <w:rPr>
                <w:rFonts w:eastAsiaTheme="minorEastAsia"/>
                <w:color w:val="auto"/>
                <w:szCs w:val="21"/>
              </w:rPr>
            </w:pPr>
            <w:r>
              <w:rPr>
                <w:rFonts w:hAnsiTheme="minorEastAsia" w:eastAsiaTheme="minorEastAsia"/>
                <w:color w:val="auto"/>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06A67A63">
            <w:pPr>
              <w:widowControl/>
              <w:jc w:val="center"/>
              <w:textAlignment w:val="center"/>
              <w:rPr>
                <w:rFonts w:eastAsiaTheme="minorEastAsia"/>
                <w:color w:val="auto"/>
                <w:szCs w:val="21"/>
              </w:rPr>
            </w:pPr>
            <w:r>
              <w:rPr>
                <w:rFonts w:eastAsiaTheme="minorEastAsia"/>
                <w:color w:val="auto"/>
                <w:kern w:val="0"/>
                <w:szCs w:val="21"/>
              </w:rPr>
              <w:t>1</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3F8405CF">
            <w:pPr>
              <w:widowControl/>
              <w:jc w:val="center"/>
              <w:textAlignment w:val="center"/>
              <w:rPr>
                <w:rFonts w:eastAsiaTheme="minorEastAsia"/>
                <w:color w:val="auto"/>
                <w:szCs w:val="21"/>
              </w:rPr>
            </w:pPr>
            <w:r>
              <w:rPr>
                <w:rFonts w:eastAsiaTheme="minorEastAsia"/>
                <w:color w:val="auto"/>
                <w:kern w:val="0"/>
                <w:szCs w:val="21"/>
              </w:rPr>
              <w:t>1</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43E9C141">
            <w:pPr>
              <w:widowControl/>
              <w:jc w:val="center"/>
              <w:textAlignment w:val="center"/>
              <w:rPr>
                <w:rFonts w:eastAsiaTheme="minorEastAsia"/>
                <w:color w:val="auto"/>
                <w:szCs w:val="21"/>
              </w:rPr>
            </w:pPr>
            <w:r>
              <w:rPr>
                <w:rFonts w:hAnsiTheme="minorEastAsia" w:eastAsiaTheme="minorEastAsia"/>
                <w:color w:val="auto"/>
                <w:kern w:val="0"/>
                <w:szCs w:val="21"/>
              </w:rPr>
              <w:t>件</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2330D48E">
            <w:pPr>
              <w:widowControl/>
              <w:jc w:val="center"/>
              <w:textAlignment w:val="center"/>
              <w:rPr>
                <w:rFonts w:eastAsiaTheme="minorEastAsia"/>
                <w:color w:val="auto"/>
                <w:szCs w:val="21"/>
              </w:rPr>
            </w:pPr>
            <w:r>
              <w:rPr>
                <w:rFonts w:eastAsiaTheme="minorEastAsia"/>
                <w:color w:val="auto"/>
                <w:kern w:val="0"/>
                <w:szCs w:val="21"/>
              </w:rPr>
              <w:t>10</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33FCAC11">
            <w:pPr>
              <w:widowControl/>
              <w:jc w:val="center"/>
              <w:textAlignment w:val="center"/>
              <w:rPr>
                <w:rFonts w:eastAsiaTheme="minorEastAsia"/>
                <w:color w:val="auto"/>
                <w:szCs w:val="21"/>
              </w:rPr>
            </w:pPr>
            <w:r>
              <w:rPr>
                <w:rFonts w:eastAsiaTheme="minorEastAsia"/>
                <w:color w:val="auto"/>
                <w:kern w:val="0"/>
                <w:szCs w:val="21"/>
              </w:rPr>
              <w:t>10</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442FAF8F">
            <w:pPr>
              <w:jc w:val="center"/>
              <w:rPr>
                <w:rFonts w:eastAsiaTheme="minorEastAsia"/>
                <w:color w:val="auto"/>
                <w:szCs w:val="21"/>
              </w:rPr>
            </w:pPr>
          </w:p>
        </w:tc>
      </w:tr>
      <w:tr w14:paraId="3B66DF24">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4A19EAE">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1474D0D">
            <w:pPr>
              <w:jc w:val="center"/>
              <w:rPr>
                <w:rFonts w:eastAsiaTheme="minorEastAsia"/>
                <w:color w:val="auto"/>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31EB072">
            <w:pPr>
              <w:jc w:val="center"/>
              <w:rPr>
                <w:rFonts w:eastAsiaTheme="minorEastAsia"/>
                <w:color w:val="auto"/>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013A8EE6">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国家赔偿</w:t>
            </w:r>
          </w:p>
          <w:p w14:paraId="724D95DD">
            <w:pPr>
              <w:widowControl/>
              <w:jc w:val="center"/>
              <w:textAlignment w:val="center"/>
              <w:rPr>
                <w:rFonts w:eastAsiaTheme="minorEastAsia"/>
                <w:color w:val="auto"/>
                <w:szCs w:val="21"/>
              </w:rPr>
            </w:pPr>
            <w:r>
              <w:rPr>
                <w:rFonts w:hAnsiTheme="minorEastAsia" w:eastAsiaTheme="minorEastAsia"/>
                <w:color w:val="auto"/>
                <w:kern w:val="0"/>
                <w:szCs w:val="21"/>
              </w:rPr>
              <w:t>人数</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3A6DE7C4">
            <w:pPr>
              <w:widowControl/>
              <w:jc w:val="center"/>
              <w:textAlignment w:val="center"/>
              <w:rPr>
                <w:rFonts w:eastAsiaTheme="minorEastAsia"/>
                <w:color w:val="auto"/>
                <w:szCs w:val="21"/>
              </w:rPr>
            </w:pPr>
            <w:r>
              <w:rPr>
                <w:rFonts w:hAnsiTheme="minorEastAsia" w:eastAsiaTheme="minorEastAsia"/>
                <w:color w:val="auto"/>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4B32D061">
            <w:pPr>
              <w:widowControl/>
              <w:jc w:val="center"/>
              <w:textAlignment w:val="center"/>
              <w:rPr>
                <w:rFonts w:eastAsiaTheme="minorEastAsia"/>
                <w:color w:val="auto"/>
                <w:szCs w:val="21"/>
              </w:rPr>
            </w:pPr>
            <w:r>
              <w:rPr>
                <w:rFonts w:hAnsiTheme="minorEastAsia" w:eastAsiaTheme="minorEastAsia"/>
                <w:color w:val="auto"/>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55E8BFB4">
            <w:pPr>
              <w:widowControl/>
              <w:jc w:val="center"/>
              <w:textAlignment w:val="center"/>
              <w:rPr>
                <w:rFonts w:eastAsiaTheme="minorEastAsia"/>
                <w:color w:val="auto"/>
                <w:szCs w:val="21"/>
              </w:rPr>
            </w:pPr>
            <w:r>
              <w:rPr>
                <w:rFonts w:eastAsiaTheme="minorEastAsia"/>
                <w:color w:val="auto"/>
                <w:kern w:val="0"/>
                <w:szCs w:val="21"/>
              </w:rPr>
              <w:t>1</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495661C3">
            <w:pPr>
              <w:widowControl/>
              <w:jc w:val="center"/>
              <w:textAlignment w:val="center"/>
              <w:rPr>
                <w:rFonts w:eastAsiaTheme="minorEastAsia"/>
                <w:color w:val="auto"/>
                <w:szCs w:val="21"/>
              </w:rPr>
            </w:pPr>
            <w:r>
              <w:rPr>
                <w:rFonts w:eastAsiaTheme="minorEastAsia"/>
                <w:color w:val="auto"/>
                <w:kern w:val="0"/>
                <w:szCs w:val="21"/>
              </w:rPr>
              <w:t>1</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667FB939">
            <w:pPr>
              <w:widowControl/>
              <w:jc w:val="center"/>
              <w:textAlignment w:val="center"/>
              <w:rPr>
                <w:rFonts w:eastAsiaTheme="minorEastAsia"/>
                <w:color w:val="auto"/>
                <w:szCs w:val="21"/>
              </w:rPr>
            </w:pPr>
            <w:r>
              <w:rPr>
                <w:rFonts w:hAnsiTheme="minorEastAsia" w:eastAsiaTheme="minorEastAsia"/>
                <w:color w:val="auto"/>
                <w:kern w:val="0"/>
                <w:szCs w:val="21"/>
              </w:rPr>
              <w:t>人</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53FFC04F">
            <w:pPr>
              <w:widowControl/>
              <w:jc w:val="center"/>
              <w:textAlignment w:val="center"/>
              <w:rPr>
                <w:rFonts w:eastAsiaTheme="minorEastAsia"/>
                <w:color w:val="auto"/>
                <w:szCs w:val="21"/>
              </w:rPr>
            </w:pPr>
            <w:r>
              <w:rPr>
                <w:rFonts w:eastAsiaTheme="minorEastAsia"/>
                <w:color w:val="auto"/>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34038427">
            <w:pPr>
              <w:widowControl/>
              <w:jc w:val="center"/>
              <w:textAlignment w:val="center"/>
              <w:rPr>
                <w:rFonts w:eastAsiaTheme="minorEastAsia"/>
                <w:color w:val="auto"/>
                <w:szCs w:val="21"/>
              </w:rPr>
            </w:pPr>
            <w:r>
              <w:rPr>
                <w:rFonts w:eastAsiaTheme="minorEastAsia"/>
                <w:color w:val="auto"/>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49AB0C36">
            <w:pPr>
              <w:jc w:val="center"/>
              <w:rPr>
                <w:rFonts w:eastAsiaTheme="minorEastAsia"/>
                <w:color w:val="auto"/>
                <w:szCs w:val="21"/>
              </w:rPr>
            </w:pPr>
          </w:p>
        </w:tc>
      </w:tr>
      <w:tr w14:paraId="6473638D">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14133EA">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8357845">
            <w:pPr>
              <w:jc w:val="center"/>
              <w:rPr>
                <w:rFonts w:eastAsiaTheme="minorEastAsia"/>
                <w:color w:val="auto"/>
                <w:szCs w:val="21"/>
              </w:rPr>
            </w:pP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E147691">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质量</w:t>
            </w:r>
          </w:p>
          <w:p w14:paraId="442B4F6F">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1D65CB05">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赔偿案件</w:t>
            </w:r>
          </w:p>
          <w:p w14:paraId="0130D3A9">
            <w:pPr>
              <w:widowControl/>
              <w:jc w:val="center"/>
              <w:textAlignment w:val="center"/>
              <w:rPr>
                <w:rFonts w:eastAsiaTheme="minorEastAsia"/>
                <w:color w:val="auto"/>
                <w:szCs w:val="21"/>
              </w:rPr>
            </w:pPr>
            <w:r>
              <w:rPr>
                <w:rFonts w:hAnsiTheme="minorEastAsia" w:eastAsiaTheme="minorEastAsia"/>
                <w:color w:val="auto"/>
                <w:kern w:val="0"/>
                <w:szCs w:val="21"/>
              </w:rPr>
              <w:t>息诉罢访率</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5582BAC">
            <w:pPr>
              <w:widowControl/>
              <w:jc w:val="center"/>
              <w:textAlignment w:val="center"/>
              <w:rPr>
                <w:rFonts w:eastAsiaTheme="minorEastAsia"/>
                <w:color w:val="auto"/>
                <w:szCs w:val="21"/>
              </w:rPr>
            </w:pPr>
            <w:r>
              <w:rPr>
                <w:rFonts w:hAnsiTheme="minorEastAsia" w:eastAsiaTheme="minorEastAsia"/>
                <w:color w:val="auto"/>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2C581107">
            <w:pPr>
              <w:widowControl/>
              <w:jc w:val="center"/>
              <w:textAlignment w:val="center"/>
              <w:rPr>
                <w:rFonts w:eastAsiaTheme="minorEastAsia"/>
                <w:color w:val="auto"/>
                <w:szCs w:val="21"/>
              </w:rPr>
            </w:pPr>
            <w:r>
              <w:rPr>
                <w:rFonts w:hAnsiTheme="minorEastAsia" w:eastAsiaTheme="minorEastAsia"/>
                <w:color w:val="auto"/>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6DB75518">
            <w:pPr>
              <w:widowControl/>
              <w:jc w:val="center"/>
              <w:textAlignment w:val="center"/>
              <w:rPr>
                <w:rFonts w:eastAsiaTheme="minorEastAsia"/>
                <w:color w:val="auto"/>
                <w:szCs w:val="21"/>
              </w:rPr>
            </w:pPr>
            <w:r>
              <w:rPr>
                <w:rFonts w:eastAsiaTheme="minorEastAsia"/>
                <w:color w:val="auto"/>
                <w:kern w:val="0"/>
                <w:szCs w:val="21"/>
              </w:rPr>
              <w:t>100</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0D094F30">
            <w:pPr>
              <w:widowControl/>
              <w:jc w:val="center"/>
              <w:textAlignment w:val="center"/>
              <w:rPr>
                <w:rFonts w:eastAsiaTheme="minorEastAsia"/>
                <w:color w:val="auto"/>
                <w:szCs w:val="21"/>
              </w:rPr>
            </w:pPr>
            <w:r>
              <w:rPr>
                <w:rFonts w:eastAsiaTheme="minorEastAsia"/>
                <w:color w:val="auto"/>
                <w:kern w:val="0"/>
                <w:szCs w:val="21"/>
              </w:rPr>
              <w:t>100</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73D9CEA0">
            <w:pPr>
              <w:widowControl/>
              <w:jc w:val="center"/>
              <w:textAlignment w:val="center"/>
              <w:rPr>
                <w:rFonts w:eastAsiaTheme="minorEastAsia"/>
                <w:color w:val="auto"/>
                <w:szCs w:val="21"/>
              </w:rPr>
            </w:pPr>
            <w:r>
              <w:rPr>
                <w:rFonts w:eastAsiaTheme="minorEastAsia"/>
                <w:color w:val="auto"/>
                <w:kern w:val="0"/>
                <w:szCs w:val="21"/>
              </w:rPr>
              <w:t>%</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11B1EBCB">
            <w:pPr>
              <w:widowControl/>
              <w:jc w:val="center"/>
              <w:textAlignment w:val="center"/>
              <w:rPr>
                <w:rFonts w:eastAsiaTheme="minorEastAsia"/>
                <w:color w:val="auto"/>
                <w:szCs w:val="21"/>
              </w:rPr>
            </w:pPr>
            <w:r>
              <w:rPr>
                <w:rFonts w:eastAsiaTheme="minorEastAsia"/>
                <w:color w:val="auto"/>
                <w:kern w:val="0"/>
                <w:szCs w:val="21"/>
              </w:rPr>
              <w:t>10</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0FBD6C79">
            <w:pPr>
              <w:widowControl/>
              <w:jc w:val="center"/>
              <w:textAlignment w:val="center"/>
              <w:rPr>
                <w:rFonts w:eastAsiaTheme="minorEastAsia"/>
                <w:color w:val="auto"/>
                <w:szCs w:val="21"/>
              </w:rPr>
            </w:pPr>
            <w:r>
              <w:rPr>
                <w:rFonts w:eastAsiaTheme="minorEastAsia"/>
                <w:color w:val="auto"/>
                <w:kern w:val="0"/>
                <w:szCs w:val="21"/>
              </w:rPr>
              <w:t>10</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61C6F44C">
            <w:pPr>
              <w:jc w:val="center"/>
              <w:rPr>
                <w:rFonts w:eastAsiaTheme="minorEastAsia"/>
                <w:color w:val="auto"/>
                <w:szCs w:val="21"/>
              </w:rPr>
            </w:pPr>
          </w:p>
        </w:tc>
      </w:tr>
      <w:tr w14:paraId="6714FBAA">
        <w:tblPrEx>
          <w:tblCellMar>
            <w:top w:w="0" w:type="dxa"/>
            <w:left w:w="28" w:type="dxa"/>
            <w:bottom w:w="0" w:type="dxa"/>
            <w:right w:w="28" w:type="dxa"/>
          </w:tblCellMar>
        </w:tblPrEx>
        <w:trPr>
          <w:gridAfter w:val="1"/>
          <w:wAfter w:w="97" w:type="dxa"/>
          <w:trHeight w:val="1373"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87AAEBC">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33FC5EE">
            <w:pPr>
              <w:jc w:val="center"/>
              <w:rPr>
                <w:rFonts w:eastAsiaTheme="minorEastAsia"/>
                <w:color w:val="auto"/>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34883CB">
            <w:pPr>
              <w:jc w:val="center"/>
              <w:rPr>
                <w:rFonts w:eastAsiaTheme="minorEastAsia"/>
                <w:color w:val="auto"/>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0AC8D429">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赔偿案件</w:t>
            </w:r>
          </w:p>
          <w:p w14:paraId="7AB4CEBE">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符合法律</w:t>
            </w:r>
          </w:p>
          <w:p w14:paraId="056834C7">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规定案件</w:t>
            </w:r>
          </w:p>
          <w:p w14:paraId="1940D010">
            <w:pPr>
              <w:widowControl/>
              <w:jc w:val="center"/>
              <w:textAlignment w:val="center"/>
              <w:rPr>
                <w:rFonts w:eastAsiaTheme="minorEastAsia"/>
                <w:color w:val="auto"/>
                <w:szCs w:val="21"/>
              </w:rPr>
            </w:pPr>
            <w:r>
              <w:rPr>
                <w:rFonts w:hAnsiTheme="minorEastAsia" w:eastAsiaTheme="minorEastAsia"/>
                <w:color w:val="auto"/>
                <w:kern w:val="0"/>
                <w:szCs w:val="21"/>
              </w:rPr>
              <w:t>质量标准</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9F2D141">
            <w:pPr>
              <w:widowControl/>
              <w:jc w:val="center"/>
              <w:textAlignment w:val="center"/>
              <w:rPr>
                <w:rFonts w:eastAsiaTheme="minorEastAsia"/>
                <w:color w:val="auto"/>
                <w:szCs w:val="21"/>
              </w:rPr>
            </w:pPr>
            <w:r>
              <w:rPr>
                <w:rFonts w:hAnsiTheme="minorEastAsia" w:eastAsiaTheme="minorEastAsia"/>
                <w:color w:val="auto"/>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755BDF74">
            <w:pPr>
              <w:jc w:val="center"/>
              <w:rPr>
                <w:rFonts w:eastAsiaTheme="minorEastAsia"/>
                <w:color w:val="auto"/>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7F422BA6">
            <w:pPr>
              <w:widowControl/>
              <w:jc w:val="center"/>
              <w:textAlignment w:val="center"/>
              <w:rPr>
                <w:rFonts w:eastAsiaTheme="minorEastAsia"/>
                <w:color w:val="auto"/>
                <w:szCs w:val="21"/>
              </w:rPr>
            </w:pPr>
            <w:r>
              <w:rPr>
                <w:rFonts w:hAnsiTheme="minorEastAsia" w:eastAsiaTheme="minorEastAsia"/>
                <w:color w:val="auto"/>
                <w:kern w:val="0"/>
                <w:szCs w:val="21"/>
              </w:rPr>
              <w:t>符合</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63603722">
            <w:pPr>
              <w:widowControl/>
              <w:jc w:val="center"/>
              <w:textAlignment w:val="center"/>
              <w:rPr>
                <w:rFonts w:eastAsiaTheme="minorEastAsia"/>
                <w:color w:val="auto"/>
                <w:szCs w:val="21"/>
              </w:rPr>
            </w:pPr>
            <w:r>
              <w:rPr>
                <w:rFonts w:hAnsiTheme="minorEastAsia" w:eastAsiaTheme="minorEastAsia"/>
                <w:color w:val="auto"/>
                <w:kern w:val="0"/>
                <w:szCs w:val="21"/>
              </w:rPr>
              <w:t>符合</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0F4AAE0D">
            <w:pPr>
              <w:jc w:val="center"/>
              <w:rPr>
                <w:rFonts w:eastAsiaTheme="minorEastAsia"/>
                <w:color w:val="auto"/>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4B83D57B">
            <w:pPr>
              <w:widowControl/>
              <w:jc w:val="center"/>
              <w:textAlignment w:val="center"/>
              <w:rPr>
                <w:rFonts w:eastAsiaTheme="minorEastAsia"/>
                <w:color w:val="auto"/>
                <w:szCs w:val="21"/>
              </w:rPr>
            </w:pPr>
            <w:r>
              <w:rPr>
                <w:rFonts w:eastAsiaTheme="minorEastAsia"/>
                <w:color w:val="auto"/>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76441759">
            <w:pPr>
              <w:widowControl/>
              <w:jc w:val="center"/>
              <w:textAlignment w:val="center"/>
              <w:rPr>
                <w:rFonts w:eastAsiaTheme="minorEastAsia"/>
                <w:color w:val="auto"/>
                <w:szCs w:val="21"/>
              </w:rPr>
            </w:pPr>
            <w:r>
              <w:rPr>
                <w:rFonts w:eastAsiaTheme="minorEastAsia"/>
                <w:color w:val="auto"/>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1459D90A">
            <w:pPr>
              <w:jc w:val="center"/>
              <w:rPr>
                <w:rFonts w:eastAsiaTheme="minorEastAsia"/>
                <w:color w:val="auto"/>
                <w:szCs w:val="21"/>
              </w:rPr>
            </w:pPr>
          </w:p>
        </w:tc>
      </w:tr>
      <w:tr w14:paraId="25DD1EEA">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16BD84">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F19EE33">
            <w:pPr>
              <w:jc w:val="center"/>
              <w:rPr>
                <w:rFonts w:eastAsiaTheme="minorEastAsia"/>
                <w:color w:val="auto"/>
                <w:szCs w:val="21"/>
              </w:rPr>
            </w:pP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CFE78D8">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时效</w:t>
            </w:r>
          </w:p>
          <w:p w14:paraId="5F36FDAE">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06C14C0B">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国家赔偿</w:t>
            </w:r>
          </w:p>
          <w:p w14:paraId="16F98F4F">
            <w:pPr>
              <w:widowControl/>
              <w:jc w:val="center"/>
              <w:textAlignment w:val="center"/>
              <w:rPr>
                <w:rFonts w:eastAsiaTheme="minorEastAsia"/>
                <w:color w:val="auto"/>
                <w:szCs w:val="21"/>
              </w:rPr>
            </w:pPr>
            <w:r>
              <w:rPr>
                <w:rFonts w:hAnsiTheme="minorEastAsia" w:eastAsiaTheme="minorEastAsia"/>
                <w:color w:val="auto"/>
                <w:kern w:val="0"/>
                <w:szCs w:val="21"/>
              </w:rPr>
              <w:t>及时性</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64C68F4D">
            <w:pPr>
              <w:widowControl/>
              <w:jc w:val="center"/>
              <w:textAlignment w:val="center"/>
              <w:rPr>
                <w:rFonts w:eastAsiaTheme="minorEastAsia"/>
                <w:color w:val="auto"/>
                <w:szCs w:val="21"/>
              </w:rPr>
            </w:pPr>
            <w:r>
              <w:rPr>
                <w:rFonts w:hAnsiTheme="minorEastAsia" w:eastAsiaTheme="minorEastAsia"/>
                <w:color w:val="auto"/>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3C8E244E">
            <w:pPr>
              <w:jc w:val="center"/>
              <w:rPr>
                <w:rFonts w:eastAsiaTheme="minorEastAsia"/>
                <w:color w:val="auto"/>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5E09CA49">
            <w:pPr>
              <w:widowControl/>
              <w:jc w:val="center"/>
              <w:textAlignment w:val="center"/>
              <w:rPr>
                <w:rFonts w:eastAsiaTheme="minorEastAsia"/>
                <w:color w:val="auto"/>
                <w:szCs w:val="21"/>
              </w:rPr>
            </w:pPr>
            <w:r>
              <w:rPr>
                <w:rFonts w:hAnsiTheme="minorEastAsia" w:eastAsiaTheme="minorEastAsia"/>
                <w:color w:val="auto"/>
                <w:kern w:val="0"/>
                <w:szCs w:val="21"/>
              </w:rPr>
              <w:t>及时</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68C76CE2">
            <w:pPr>
              <w:widowControl/>
              <w:jc w:val="center"/>
              <w:textAlignment w:val="center"/>
              <w:rPr>
                <w:rFonts w:eastAsiaTheme="minorEastAsia"/>
                <w:color w:val="auto"/>
                <w:szCs w:val="21"/>
              </w:rPr>
            </w:pPr>
            <w:r>
              <w:rPr>
                <w:rFonts w:hAnsiTheme="minorEastAsia" w:eastAsiaTheme="minorEastAsia"/>
                <w:color w:val="auto"/>
                <w:kern w:val="0"/>
                <w:szCs w:val="21"/>
              </w:rPr>
              <w:t>及时</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11D95702">
            <w:pPr>
              <w:jc w:val="center"/>
              <w:rPr>
                <w:rFonts w:eastAsiaTheme="minorEastAsia"/>
                <w:color w:val="auto"/>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47F867F1">
            <w:pPr>
              <w:widowControl/>
              <w:jc w:val="center"/>
              <w:textAlignment w:val="center"/>
              <w:rPr>
                <w:rFonts w:eastAsiaTheme="minorEastAsia"/>
                <w:color w:val="auto"/>
                <w:szCs w:val="21"/>
              </w:rPr>
            </w:pPr>
            <w:r>
              <w:rPr>
                <w:rFonts w:eastAsiaTheme="minorEastAsia"/>
                <w:color w:val="auto"/>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08211B41">
            <w:pPr>
              <w:widowControl/>
              <w:jc w:val="center"/>
              <w:textAlignment w:val="center"/>
              <w:rPr>
                <w:rFonts w:eastAsiaTheme="minorEastAsia"/>
                <w:color w:val="auto"/>
                <w:szCs w:val="21"/>
              </w:rPr>
            </w:pPr>
            <w:r>
              <w:rPr>
                <w:rFonts w:eastAsiaTheme="minorEastAsia"/>
                <w:color w:val="auto"/>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4EE091C4">
            <w:pPr>
              <w:jc w:val="center"/>
              <w:rPr>
                <w:rFonts w:eastAsiaTheme="minorEastAsia"/>
                <w:color w:val="auto"/>
                <w:szCs w:val="21"/>
              </w:rPr>
            </w:pPr>
          </w:p>
        </w:tc>
      </w:tr>
      <w:tr w14:paraId="6D6EAE32">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5154D3C">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44D1ECA">
            <w:pPr>
              <w:jc w:val="center"/>
              <w:rPr>
                <w:rFonts w:eastAsiaTheme="minorEastAsia"/>
                <w:color w:val="auto"/>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2E04844">
            <w:pPr>
              <w:jc w:val="center"/>
              <w:rPr>
                <w:rFonts w:eastAsiaTheme="minorEastAsia"/>
                <w:color w:val="auto"/>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0A89F6DD">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赔偿请求</w:t>
            </w:r>
          </w:p>
          <w:p w14:paraId="654423EF">
            <w:pPr>
              <w:widowControl/>
              <w:jc w:val="center"/>
              <w:textAlignment w:val="center"/>
              <w:rPr>
                <w:rFonts w:eastAsiaTheme="minorEastAsia"/>
                <w:color w:val="auto"/>
                <w:szCs w:val="21"/>
              </w:rPr>
            </w:pPr>
            <w:r>
              <w:rPr>
                <w:rFonts w:hAnsiTheme="minorEastAsia" w:eastAsiaTheme="minorEastAsia"/>
                <w:color w:val="auto"/>
                <w:kern w:val="0"/>
                <w:szCs w:val="21"/>
              </w:rPr>
              <w:t>人领取赔偿金时效性</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25673B5E">
            <w:pPr>
              <w:widowControl/>
              <w:jc w:val="center"/>
              <w:textAlignment w:val="center"/>
              <w:rPr>
                <w:rFonts w:eastAsiaTheme="minorEastAsia"/>
                <w:color w:val="auto"/>
                <w:szCs w:val="21"/>
              </w:rPr>
            </w:pPr>
            <w:r>
              <w:rPr>
                <w:rFonts w:hAnsiTheme="minorEastAsia" w:eastAsiaTheme="minorEastAsia"/>
                <w:color w:val="auto"/>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65166107">
            <w:pPr>
              <w:jc w:val="center"/>
              <w:rPr>
                <w:rFonts w:eastAsiaTheme="minorEastAsia"/>
                <w:color w:val="auto"/>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49132962">
            <w:pPr>
              <w:widowControl/>
              <w:jc w:val="center"/>
              <w:textAlignment w:val="center"/>
              <w:rPr>
                <w:rFonts w:eastAsiaTheme="minorEastAsia"/>
                <w:color w:val="auto"/>
                <w:szCs w:val="21"/>
              </w:rPr>
            </w:pPr>
            <w:r>
              <w:rPr>
                <w:rFonts w:hAnsiTheme="minorEastAsia" w:eastAsiaTheme="minorEastAsia"/>
                <w:color w:val="auto"/>
                <w:kern w:val="0"/>
                <w:szCs w:val="21"/>
              </w:rPr>
              <w:t>及时</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4561AB44">
            <w:pPr>
              <w:widowControl/>
              <w:jc w:val="center"/>
              <w:textAlignment w:val="center"/>
              <w:rPr>
                <w:rFonts w:eastAsiaTheme="minorEastAsia"/>
                <w:color w:val="auto"/>
                <w:szCs w:val="21"/>
              </w:rPr>
            </w:pPr>
            <w:r>
              <w:rPr>
                <w:rFonts w:hAnsiTheme="minorEastAsia" w:eastAsiaTheme="minorEastAsia"/>
                <w:color w:val="auto"/>
                <w:kern w:val="0"/>
                <w:szCs w:val="21"/>
              </w:rPr>
              <w:t>及时</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3B59558D">
            <w:pPr>
              <w:jc w:val="center"/>
              <w:rPr>
                <w:rFonts w:eastAsiaTheme="minorEastAsia"/>
                <w:color w:val="auto"/>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3CD07279">
            <w:pPr>
              <w:widowControl/>
              <w:jc w:val="center"/>
              <w:textAlignment w:val="center"/>
              <w:rPr>
                <w:rFonts w:eastAsiaTheme="minorEastAsia"/>
                <w:color w:val="auto"/>
                <w:szCs w:val="21"/>
              </w:rPr>
            </w:pPr>
            <w:r>
              <w:rPr>
                <w:rFonts w:eastAsiaTheme="minorEastAsia"/>
                <w:color w:val="auto"/>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16B0DFAF">
            <w:pPr>
              <w:widowControl/>
              <w:jc w:val="center"/>
              <w:textAlignment w:val="center"/>
              <w:rPr>
                <w:rFonts w:eastAsiaTheme="minorEastAsia"/>
                <w:color w:val="auto"/>
                <w:szCs w:val="21"/>
              </w:rPr>
            </w:pPr>
            <w:r>
              <w:rPr>
                <w:rFonts w:eastAsiaTheme="minorEastAsia"/>
                <w:color w:val="auto"/>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21215A56">
            <w:pPr>
              <w:jc w:val="center"/>
              <w:rPr>
                <w:rFonts w:eastAsiaTheme="minorEastAsia"/>
                <w:color w:val="auto"/>
                <w:szCs w:val="21"/>
              </w:rPr>
            </w:pPr>
          </w:p>
        </w:tc>
      </w:tr>
      <w:tr w14:paraId="36B16CA4">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BC43C6E">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2094F9">
            <w:pPr>
              <w:jc w:val="center"/>
              <w:rPr>
                <w:rFonts w:eastAsiaTheme="minorEastAsia"/>
                <w:color w:val="auto"/>
                <w:szCs w:val="21"/>
              </w:rPr>
            </w:pPr>
          </w:p>
        </w:tc>
        <w:tc>
          <w:tcPr>
            <w:tcW w:w="87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A9B7F7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成本</w:t>
            </w:r>
          </w:p>
          <w:p w14:paraId="4D614BD1">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1D652AFF">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国家赔偿</w:t>
            </w:r>
          </w:p>
          <w:p w14:paraId="00AA98A6">
            <w:pPr>
              <w:widowControl/>
              <w:jc w:val="center"/>
              <w:textAlignment w:val="center"/>
              <w:rPr>
                <w:rFonts w:eastAsiaTheme="minorEastAsia"/>
                <w:color w:val="auto"/>
                <w:szCs w:val="21"/>
              </w:rPr>
            </w:pPr>
            <w:r>
              <w:rPr>
                <w:rFonts w:hAnsiTheme="minorEastAsia" w:eastAsiaTheme="minorEastAsia"/>
                <w:color w:val="auto"/>
                <w:kern w:val="0"/>
                <w:szCs w:val="21"/>
              </w:rPr>
              <w:t>总成本</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5A9260F3">
            <w:pPr>
              <w:widowControl/>
              <w:jc w:val="center"/>
              <w:textAlignment w:val="center"/>
              <w:rPr>
                <w:rFonts w:eastAsiaTheme="minorEastAsia"/>
                <w:color w:val="auto"/>
                <w:szCs w:val="21"/>
              </w:rPr>
            </w:pPr>
            <w:r>
              <w:rPr>
                <w:rFonts w:hAnsiTheme="minorEastAsia" w:eastAsiaTheme="minorEastAsia"/>
                <w:color w:val="auto"/>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3D1DEBD9">
            <w:pPr>
              <w:widowControl/>
              <w:jc w:val="center"/>
              <w:textAlignment w:val="center"/>
              <w:rPr>
                <w:rFonts w:eastAsiaTheme="minorEastAsia"/>
                <w:color w:val="auto"/>
                <w:szCs w:val="21"/>
              </w:rPr>
            </w:pPr>
            <w:r>
              <w:rPr>
                <w:rFonts w:hAnsiTheme="minorEastAsia" w:eastAsiaTheme="minorEastAsia"/>
                <w:color w:val="auto"/>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634EB70B">
            <w:pPr>
              <w:widowControl/>
              <w:jc w:val="center"/>
              <w:textAlignment w:val="center"/>
              <w:rPr>
                <w:rFonts w:eastAsiaTheme="minorEastAsia"/>
                <w:color w:val="auto"/>
                <w:szCs w:val="21"/>
              </w:rPr>
            </w:pPr>
            <w:r>
              <w:rPr>
                <w:rFonts w:eastAsiaTheme="minorEastAsia"/>
                <w:color w:val="auto"/>
                <w:kern w:val="0"/>
                <w:szCs w:val="21"/>
              </w:rPr>
              <w:t>336727.66</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7E9AD219">
            <w:pPr>
              <w:widowControl/>
              <w:jc w:val="center"/>
              <w:textAlignment w:val="center"/>
              <w:rPr>
                <w:rFonts w:eastAsiaTheme="minorEastAsia"/>
                <w:color w:val="auto"/>
                <w:szCs w:val="21"/>
              </w:rPr>
            </w:pPr>
            <w:r>
              <w:rPr>
                <w:rFonts w:eastAsiaTheme="minorEastAsia"/>
                <w:color w:val="auto"/>
                <w:kern w:val="0"/>
                <w:szCs w:val="21"/>
              </w:rPr>
              <w:t>336727.66</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0DCF5671">
            <w:pPr>
              <w:widowControl/>
              <w:jc w:val="center"/>
              <w:textAlignment w:val="center"/>
              <w:rPr>
                <w:rFonts w:eastAsiaTheme="minorEastAsia"/>
                <w:color w:val="auto"/>
                <w:szCs w:val="21"/>
              </w:rPr>
            </w:pPr>
            <w:r>
              <w:rPr>
                <w:rFonts w:hAnsiTheme="minorEastAsia" w:eastAsiaTheme="minorEastAsia"/>
                <w:color w:val="auto"/>
                <w:kern w:val="0"/>
                <w:szCs w:val="21"/>
              </w:rPr>
              <w:t>元</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7ECF10CA">
            <w:pPr>
              <w:widowControl/>
              <w:jc w:val="center"/>
              <w:textAlignment w:val="center"/>
              <w:rPr>
                <w:rFonts w:eastAsiaTheme="minorEastAsia"/>
                <w:color w:val="auto"/>
                <w:szCs w:val="21"/>
              </w:rPr>
            </w:pPr>
            <w:r>
              <w:rPr>
                <w:rFonts w:eastAsiaTheme="minorEastAsia"/>
                <w:color w:val="auto"/>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08B050E9">
            <w:pPr>
              <w:widowControl/>
              <w:jc w:val="center"/>
              <w:textAlignment w:val="center"/>
              <w:rPr>
                <w:rFonts w:eastAsiaTheme="minorEastAsia"/>
                <w:color w:val="auto"/>
                <w:szCs w:val="21"/>
              </w:rPr>
            </w:pPr>
            <w:r>
              <w:rPr>
                <w:rFonts w:eastAsiaTheme="minorEastAsia"/>
                <w:color w:val="auto"/>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7F180893">
            <w:pPr>
              <w:jc w:val="center"/>
              <w:rPr>
                <w:rFonts w:eastAsiaTheme="minorEastAsia"/>
                <w:color w:val="auto"/>
                <w:szCs w:val="21"/>
              </w:rPr>
            </w:pPr>
          </w:p>
        </w:tc>
      </w:tr>
      <w:tr w14:paraId="01E3ED40">
        <w:tblPrEx>
          <w:tblCellMar>
            <w:top w:w="0" w:type="dxa"/>
            <w:left w:w="28" w:type="dxa"/>
            <w:bottom w:w="0" w:type="dxa"/>
            <w:right w:w="28" w:type="dxa"/>
          </w:tblCellMar>
        </w:tblPrEx>
        <w:trPr>
          <w:gridAfter w:val="1"/>
          <w:wAfter w:w="97" w:type="dxa"/>
          <w:trHeight w:val="840"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853707C">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2372508">
            <w:pPr>
              <w:jc w:val="center"/>
              <w:rPr>
                <w:rFonts w:eastAsiaTheme="minorEastAsia"/>
                <w:color w:val="auto"/>
                <w:szCs w:val="21"/>
              </w:rPr>
            </w:pPr>
          </w:p>
        </w:tc>
        <w:tc>
          <w:tcPr>
            <w:tcW w:w="87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B935433">
            <w:pPr>
              <w:jc w:val="center"/>
              <w:rPr>
                <w:rFonts w:eastAsiaTheme="minorEastAsia"/>
                <w:color w:val="auto"/>
                <w:szCs w:val="21"/>
              </w:rPr>
            </w:pP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7C9C145E">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案件单位</w:t>
            </w:r>
          </w:p>
          <w:p w14:paraId="45F8BC51">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平均赔偿</w:t>
            </w:r>
          </w:p>
          <w:p w14:paraId="124C0B3B">
            <w:pPr>
              <w:widowControl/>
              <w:jc w:val="center"/>
              <w:textAlignment w:val="center"/>
              <w:rPr>
                <w:rFonts w:eastAsiaTheme="minorEastAsia"/>
                <w:color w:val="auto"/>
                <w:szCs w:val="21"/>
              </w:rPr>
            </w:pPr>
            <w:r>
              <w:rPr>
                <w:rFonts w:hAnsiTheme="minorEastAsia" w:eastAsiaTheme="minorEastAsia"/>
                <w:color w:val="auto"/>
                <w:kern w:val="0"/>
                <w:szCs w:val="21"/>
              </w:rPr>
              <w:t>成本</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53D89116">
            <w:pPr>
              <w:widowControl/>
              <w:jc w:val="center"/>
              <w:textAlignment w:val="center"/>
              <w:rPr>
                <w:rFonts w:eastAsiaTheme="minorEastAsia"/>
                <w:color w:val="auto"/>
                <w:szCs w:val="21"/>
              </w:rPr>
            </w:pPr>
            <w:r>
              <w:rPr>
                <w:rFonts w:hAnsiTheme="minorEastAsia" w:eastAsiaTheme="minorEastAsia"/>
                <w:color w:val="auto"/>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74936625">
            <w:pPr>
              <w:widowControl/>
              <w:jc w:val="center"/>
              <w:textAlignment w:val="center"/>
              <w:rPr>
                <w:rFonts w:eastAsiaTheme="minorEastAsia"/>
                <w:color w:val="auto"/>
                <w:szCs w:val="21"/>
              </w:rPr>
            </w:pPr>
            <w:r>
              <w:rPr>
                <w:rFonts w:hAnsiTheme="minorEastAsia" w:eastAsiaTheme="minorEastAsia"/>
                <w:color w:val="auto"/>
                <w:kern w:val="0"/>
                <w:szCs w:val="21"/>
              </w:rPr>
              <w:t>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3CCB225C">
            <w:pPr>
              <w:widowControl/>
              <w:jc w:val="center"/>
              <w:textAlignment w:val="center"/>
              <w:rPr>
                <w:rFonts w:eastAsiaTheme="minorEastAsia"/>
                <w:color w:val="auto"/>
                <w:szCs w:val="21"/>
              </w:rPr>
            </w:pPr>
            <w:r>
              <w:rPr>
                <w:rFonts w:eastAsiaTheme="minorEastAsia"/>
                <w:color w:val="auto"/>
                <w:kern w:val="0"/>
                <w:szCs w:val="21"/>
              </w:rPr>
              <w:t>336727.66</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6FA8E548">
            <w:pPr>
              <w:widowControl/>
              <w:jc w:val="center"/>
              <w:textAlignment w:val="center"/>
              <w:rPr>
                <w:rFonts w:eastAsiaTheme="minorEastAsia"/>
                <w:color w:val="auto"/>
                <w:szCs w:val="21"/>
              </w:rPr>
            </w:pPr>
            <w:r>
              <w:rPr>
                <w:rFonts w:eastAsiaTheme="minorEastAsia"/>
                <w:color w:val="auto"/>
                <w:kern w:val="0"/>
                <w:szCs w:val="21"/>
              </w:rPr>
              <w:t>336727.66</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38F5036E">
            <w:pPr>
              <w:widowControl/>
              <w:jc w:val="center"/>
              <w:textAlignment w:val="center"/>
              <w:rPr>
                <w:rFonts w:eastAsiaTheme="minorEastAsia"/>
                <w:color w:val="auto"/>
                <w:szCs w:val="21"/>
              </w:rPr>
            </w:pPr>
            <w:r>
              <w:rPr>
                <w:rFonts w:hAnsiTheme="minorEastAsia" w:eastAsiaTheme="minorEastAsia"/>
                <w:color w:val="auto"/>
                <w:kern w:val="0"/>
                <w:szCs w:val="21"/>
              </w:rPr>
              <w:t>元</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4B240374">
            <w:pPr>
              <w:widowControl/>
              <w:jc w:val="center"/>
              <w:textAlignment w:val="center"/>
              <w:rPr>
                <w:rFonts w:eastAsiaTheme="minorEastAsia"/>
                <w:color w:val="auto"/>
                <w:szCs w:val="21"/>
              </w:rPr>
            </w:pPr>
            <w:r>
              <w:rPr>
                <w:rFonts w:eastAsiaTheme="minorEastAsia"/>
                <w:color w:val="auto"/>
                <w:kern w:val="0"/>
                <w:szCs w:val="21"/>
              </w:rPr>
              <w:t>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7DCC3F9F">
            <w:pPr>
              <w:widowControl/>
              <w:jc w:val="center"/>
              <w:textAlignment w:val="center"/>
              <w:rPr>
                <w:rFonts w:eastAsiaTheme="minorEastAsia"/>
                <w:color w:val="auto"/>
                <w:szCs w:val="21"/>
              </w:rPr>
            </w:pPr>
            <w:r>
              <w:rPr>
                <w:rFonts w:eastAsiaTheme="minorEastAsia"/>
                <w:color w:val="auto"/>
                <w:kern w:val="0"/>
                <w:szCs w:val="21"/>
              </w:rPr>
              <w:t>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7A2788A1">
            <w:pPr>
              <w:jc w:val="center"/>
              <w:rPr>
                <w:rFonts w:eastAsiaTheme="minorEastAsia"/>
                <w:color w:val="auto"/>
                <w:szCs w:val="21"/>
              </w:rPr>
            </w:pPr>
          </w:p>
        </w:tc>
      </w:tr>
      <w:tr w14:paraId="7D4160FD">
        <w:tblPrEx>
          <w:tblCellMar>
            <w:top w:w="0" w:type="dxa"/>
            <w:left w:w="28" w:type="dxa"/>
            <w:bottom w:w="0" w:type="dxa"/>
            <w:right w:w="28" w:type="dxa"/>
          </w:tblCellMar>
        </w:tblPrEx>
        <w:trPr>
          <w:gridAfter w:val="1"/>
          <w:wAfter w:w="97" w:type="dxa"/>
          <w:trHeight w:val="1066"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0D0CD7">
            <w:pPr>
              <w:jc w:val="center"/>
              <w:rPr>
                <w:rFonts w:eastAsiaTheme="minorEastAsia"/>
                <w:color w:val="auto"/>
                <w:szCs w:val="21"/>
              </w:rPr>
            </w:pPr>
          </w:p>
        </w:tc>
        <w:tc>
          <w:tcPr>
            <w:tcW w:w="551"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59BB8051">
            <w:pPr>
              <w:widowControl/>
              <w:jc w:val="center"/>
              <w:textAlignment w:val="center"/>
              <w:rPr>
                <w:rFonts w:eastAsiaTheme="minorEastAsia"/>
                <w:color w:val="auto"/>
                <w:szCs w:val="21"/>
              </w:rPr>
            </w:pPr>
            <w:r>
              <w:rPr>
                <w:rFonts w:hAnsiTheme="minorEastAsia" w:eastAsiaTheme="minorEastAsia"/>
                <w:color w:val="auto"/>
                <w:kern w:val="0"/>
                <w:szCs w:val="21"/>
              </w:rPr>
              <w:t>效益指标</w:t>
            </w:r>
          </w:p>
        </w:tc>
        <w:tc>
          <w:tcPr>
            <w:tcW w:w="871" w:type="dxa"/>
            <w:gridSpan w:val="2"/>
            <w:tcBorders>
              <w:top w:val="single" w:color="000000" w:sz="4" w:space="0"/>
              <w:left w:val="single" w:color="000000" w:sz="4" w:space="0"/>
              <w:bottom w:val="nil"/>
              <w:right w:val="single" w:color="000000" w:sz="4" w:space="0"/>
            </w:tcBorders>
            <w:shd w:val="clear" w:color="auto" w:fill="auto"/>
            <w:vAlign w:val="center"/>
          </w:tcPr>
          <w:p w14:paraId="45EE20B5">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社会</w:t>
            </w:r>
          </w:p>
          <w:p w14:paraId="0168805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效益</w:t>
            </w:r>
          </w:p>
          <w:p w14:paraId="7015BE65">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162B4E3A">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消除案件</w:t>
            </w:r>
          </w:p>
          <w:p w14:paraId="35E9B6EF">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错误社会</w:t>
            </w:r>
          </w:p>
          <w:p w14:paraId="2142EB7A">
            <w:pPr>
              <w:widowControl/>
              <w:jc w:val="center"/>
              <w:textAlignment w:val="center"/>
              <w:rPr>
                <w:rFonts w:eastAsiaTheme="minorEastAsia"/>
                <w:color w:val="auto"/>
                <w:szCs w:val="21"/>
              </w:rPr>
            </w:pPr>
            <w:r>
              <w:rPr>
                <w:rFonts w:hAnsiTheme="minorEastAsia" w:eastAsiaTheme="minorEastAsia"/>
                <w:color w:val="auto"/>
                <w:kern w:val="0"/>
                <w:szCs w:val="21"/>
              </w:rPr>
              <w:t>影响</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4A8BF59A">
            <w:pPr>
              <w:widowControl/>
              <w:jc w:val="center"/>
              <w:textAlignment w:val="center"/>
              <w:rPr>
                <w:rFonts w:eastAsiaTheme="minorEastAsia"/>
                <w:color w:val="auto"/>
                <w:szCs w:val="21"/>
              </w:rPr>
            </w:pPr>
            <w:r>
              <w:rPr>
                <w:rFonts w:hAnsiTheme="minorEastAsia" w:eastAsiaTheme="minorEastAsia"/>
                <w:color w:val="auto"/>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7EAAA4FA">
            <w:pPr>
              <w:jc w:val="center"/>
              <w:rPr>
                <w:rFonts w:eastAsiaTheme="minorEastAsia"/>
                <w:color w:val="auto"/>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2856084D">
            <w:pPr>
              <w:widowControl/>
              <w:jc w:val="center"/>
              <w:textAlignment w:val="center"/>
              <w:rPr>
                <w:rFonts w:eastAsiaTheme="minorEastAsia"/>
                <w:color w:val="auto"/>
                <w:szCs w:val="21"/>
              </w:rPr>
            </w:pPr>
            <w:r>
              <w:rPr>
                <w:rFonts w:hAnsiTheme="minorEastAsia" w:eastAsiaTheme="minorEastAsia"/>
                <w:color w:val="auto"/>
                <w:kern w:val="0"/>
                <w:szCs w:val="21"/>
              </w:rPr>
              <w:t>消除</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7B7D8041">
            <w:pPr>
              <w:widowControl/>
              <w:jc w:val="center"/>
              <w:textAlignment w:val="center"/>
              <w:rPr>
                <w:rFonts w:eastAsiaTheme="minorEastAsia"/>
                <w:color w:val="auto"/>
                <w:szCs w:val="21"/>
              </w:rPr>
            </w:pPr>
            <w:r>
              <w:rPr>
                <w:rFonts w:hAnsiTheme="minorEastAsia" w:eastAsiaTheme="minorEastAsia"/>
                <w:color w:val="auto"/>
                <w:kern w:val="0"/>
                <w:szCs w:val="21"/>
              </w:rPr>
              <w:t>消除</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37F7D13E">
            <w:pPr>
              <w:jc w:val="center"/>
              <w:rPr>
                <w:rFonts w:eastAsiaTheme="minorEastAsia"/>
                <w:color w:val="auto"/>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3942C05F">
            <w:pPr>
              <w:widowControl/>
              <w:jc w:val="center"/>
              <w:textAlignment w:val="center"/>
              <w:rPr>
                <w:rFonts w:eastAsiaTheme="minorEastAsia"/>
                <w:color w:val="auto"/>
                <w:szCs w:val="21"/>
              </w:rPr>
            </w:pPr>
            <w:r>
              <w:rPr>
                <w:rFonts w:eastAsiaTheme="minorEastAsia"/>
                <w:color w:val="auto"/>
                <w:kern w:val="0"/>
                <w:szCs w:val="21"/>
              </w:rPr>
              <w:t>15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439B2715">
            <w:pPr>
              <w:widowControl/>
              <w:jc w:val="center"/>
              <w:textAlignment w:val="center"/>
              <w:rPr>
                <w:rFonts w:eastAsiaTheme="minorEastAsia"/>
                <w:color w:val="auto"/>
                <w:szCs w:val="21"/>
              </w:rPr>
            </w:pPr>
            <w:r>
              <w:rPr>
                <w:rFonts w:eastAsiaTheme="minorEastAsia"/>
                <w:color w:val="auto"/>
                <w:kern w:val="0"/>
                <w:szCs w:val="21"/>
              </w:rPr>
              <w:t>15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2DE78891">
            <w:pPr>
              <w:jc w:val="center"/>
              <w:rPr>
                <w:rFonts w:eastAsiaTheme="minorEastAsia"/>
                <w:color w:val="auto"/>
                <w:szCs w:val="21"/>
              </w:rPr>
            </w:pPr>
          </w:p>
        </w:tc>
      </w:tr>
      <w:tr w14:paraId="29D20C5B">
        <w:tblPrEx>
          <w:tblCellMar>
            <w:top w:w="0" w:type="dxa"/>
            <w:left w:w="28" w:type="dxa"/>
            <w:bottom w:w="0" w:type="dxa"/>
            <w:right w:w="28" w:type="dxa"/>
          </w:tblCellMar>
        </w:tblPrEx>
        <w:trPr>
          <w:gridAfter w:val="1"/>
          <w:wAfter w:w="97" w:type="dxa"/>
          <w:trHeight w:val="1051"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B90D755">
            <w:pPr>
              <w:jc w:val="center"/>
              <w:rPr>
                <w:rFonts w:eastAsiaTheme="minorEastAsia"/>
                <w:color w:val="auto"/>
                <w:szCs w:val="21"/>
              </w:rPr>
            </w:pPr>
          </w:p>
        </w:tc>
        <w:tc>
          <w:tcPr>
            <w:tcW w:w="551"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502C6DF">
            <w:pPr>
              <w:jc w:val="center"/>
              <w:rPr>
                <w:rFonts w:eastAsiaTheme="minorEastAsia"/>
                <w:color w:val="auto"/>
                <w:szCs w:val="21"/>
              </w:rPr>
            </w:pPr>
          </w:p>
        </w:tc>
        <w:tc>
          <w:tcPr>
            <w:tcW w:w="871" w:type="dxa"/>
            <w:gridSpan w:val="2"/>
            <w:tcBorders>
              <w:top w:val="single" w:color="000000" w:sz="4" w:space="0"/>
              <w:left w:val="single" w:color="000000" w:sz="4" w:space="0"/>
              <w:bottom w:val="nil"/>
              <w:right w:val="single" w:color="000000" w:sz="4" w:space="0"/>
            </w:tcBorders>
            <w:shd w:val="clear" w:color="auto" w:fill="auto"/>
            <w:vAlign w:val="center"/>
          </w:tcPr>
          <w:p w14:paraId="1C6B8573">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可持续影响</w:t>
            </w:r>
          </w:p>
          <w:p w14:paraId="0CE15562">
            <w:pPr>
              <w:widowControl/>
              <w:jc w:val="center"/>
              <w:textAlignment w:val="center"/>
              <w:rPr>
                <w:rFonts w:eastAsiaTheme="minorEastAsia"/>
                <w:color w:val="auto"/>
                <w:szCs w:val="21"/>
              </w:rPr>
            </w:pPr>
            <w:r>
              <w:rPr>
                <w:rFonts w:hAnsiTheme="minorEastAsia" w:eastAsiaTheme="minorEastAsia"/>
                <w:color w:val="auto"/>
                <w:kern w:val="0"/>
                <w:szCs w:val="21"/>
              </w:rPr>
              <w:t>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3F8B440D">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给予赔偿</w:t>
            </w:r>
          </w:p>
          <w:p w14:paraId="20B20E9D">
            <w:pPr>
              <w:widowControl/>
              <w:jc w:val="center"/>
              <w:textAlignment w:val="center"/>
              <w:rPr>
                <w:rFonts w:eastAsiaTheme="minorEastAsia"/>
                <w:color w:val="auto"/>
                <w:szCs w:val="21"/>
              </w:rPr>
            </w:pPr>
            <w:r>
              <w:rPr>
                <w:rFonts w:hAnsiTheme="minorEastAsia" w:eastAsiaTheme="minorEastAsia"/>
                <w:color w:val="auto"/>
                <w:kern w:val="0"/>
                <w:szCs w:val="21"/>
              </w:rPr>
              <w:t>请求人精神抚慰</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3E6257E2">
            <w:pPr>
              <w:widowControl/>
              <w:jc w:val="center"/>
              <w:textAlignment w:val="center"/>
              <w:rPr>
                <w:rFonts w:eastAsiaTheme="minorEastAsia"/>
                <w:color w:val="auto"/>
                <w:szCs w:val="21"/>
              </w:rPr>
            </w:pPr>
            <w:r>
              <w:rPr>
                <w:rFonts w:hAnsiTheme="minorEastAsia" w:eastAsiaTheme="minorEastAsia"/>
                <w:color w:val="auto"/>
                <w:kern w:val="0"/>
                <w:szCs w:val="21"/>
              </w:rPr>
              <w:t>定性</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71D98C06">
            <w:pPr>
              <w:jc w:val="center"/>
              <w:rPr>
                <w:rFonts w:eastAsiaTheme="minorEastAsia"/>
                <w:color w:val="auto"/>
                <w:szCs w:val="21"/>
              </w:rPr>
            </w:pP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01113E5D">
            <w:pPr>
              <w:widowControl/>
              <w:jc w:val="center"/>
              <w:textAlignment w:val="center"/>
              <w:rPr>
                <w:rFonts w:eastAsiaTheme="minorEastAsia"/>
                <w:color w:val="auto"/>
                <w:szCs w:val="21"/>
              </w:rPr>
            </w:pPr>
            <w:r>
              <w:rPr>
                <w:rFonts w:hAnsiTheme="minorEastAsia" w:eastAsiaTheme="minorEastAsia"/>
                <w:color w:val="auto"/>
                <w:kern w:val="0"/>
                <w:szCs w:val="21"/>
              </w:rPr>
              <w:t>满足</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7A6849DA">
            <w:pPr>
              <w:widowControl/>
              <w:jc w:val="center"/>
              <w:textAlignment w:val="center"/>
              <w:rPr>
                <w:rFonts w:eastAsiaTheme="minorEastAsia"/>
                <w:color w:val="auto"/>
                <w:szCs w:val="21"/>
              </w:rPr>
            </w:pPr>
            <w:r>
              <w:rPr>
                <w:rFonts w:hAnsiTheme="minorEastAsia" w:eastAsiaTheme="minorEastAsia"/>
                <w:color w:val="auto"/>
                <w:kern w:val="0"/>
                <w:szCs w:val="21"/>
              </w:rPr>
              <w:t>满足</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4A43DD5E">
            <w:pPr>
              <w:jc w:val="center"/>
              <w:rPr>
                <w:rFonts w:eastAsiaTheme="minorEastAsia"/>
                <w:color w:val="auto"/>
                <w:szCs w:val="21"/>
              </w:rPr>
            </w:pP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615C1D97">
            <w:pPr>
              <w:widowControl/>
              <w:jc w:val="center"/>
              <w:textAlignment w:val="center"/>
              <w:rPr>
                <w:rFonts w:eastAsiaTheme="minorEastAsia"/>
                <w:color w:val="auto"/>
                <w:szCs w:val="21"/>
              </w:rPr>
            </w:pPr>
            <w:r>
              <w:rPr>
                <w:rFonts w:eastAsiaTheme="minorEastAsia"/>
                <w:color w:val="auto"/>
                <w:kern w:val="0"/>
                <w:szCs w:val="21"/>
              </w:rPr>
              <w:t>15</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7B816860">
            <w:pPr>
              <w:widowControl/>
              <w:jc w:val="center"/>
              <w:textAlignment w:val="center"/>
              <w:rPr>
                <w:rFonts w:eastAsiaTheme="minorEastAsia"/>
                <w:color w:val="auto"/>
                <w:szCs w:val="21"/>
              </w:rPr>
            </w:pPr>
            <w:r>
              <w:rPr>
                <w:rFonts w:eastAsiaTheme="minorEastAsia"/>
                <w:color w:val="auto"/>
                <w:kern w:val="0"/>
                <w:szCs w:val="21"/>
              </w:rPr>
              <w:t>15</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56678D4F">
            <w:pPr>
              <w:jc w:val="center"/>
              <w:rPr>
                <w:rFonts w:eastAsiaTheme="minorEastAsia"/>
                <w:color w:val="auto"/>
                <w:szCs w:val="21"/>
              </w:rPr>
            </w:pPr>
          </w:p>
        </w:tc>
      </w:tr>
      <w:tr w14:paraId="2BE157F9">
        <w:tblPrEx>
          <w:tblCellMar>
            <w:top w:w="0" w:type="dxa"/>
            <w:left w:w="28" w:type="dxa"/>
            <w:bottom w:w="0" w:type="dxa"/>
            <w:right w:w="28" w:type="dxa"/>
          </w:tblCellMar>
        </w:tblPrEx>
        <w:trPr>
          <w:gridAfter w:val="1"/>
          <w:wAfter w:w="97" w:type="dxa"/>
          <w:trHeight w:val="1807" w:hRule="atLeast"/>
          <w:jc w:val="center"/>
        </w:trPr>
        <w:tc>
          <w:tcPr>
            <w:tcW w:w="430"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6022415">
            <w:pPr>
              <w:jc w:val="center"/>
              <w:rPr>
                <w:rFonts w:eastAsiaTheme="minorEastAsia"/>
                <w:color w:val="auto"/>
                <w:szCs w:val="21"/>
              </w:rPr>
            </w:pPr>
          </w:p>
        </w:tc>
        <w:tc>
          <w:tcPr>
            <w:tcW w:w="551" w:type="dxa"/>
            <w:gridSpan w:val="2"/>
            <w:tcBorders>
              <w:top w:val="single" w:color="000000" w:sz="4" w:space="0"/>
              <w:left w:val="single" w:color="000000" w:sz="4" w:space="0"/>
              <w:bottom w:val="nil"/>
              <w:right w:val="single" w:color="000000" w:sz="4" w:space="0"/>
            </w:tcBorders>
            <w:shd w:val="clear" w:color="auto" w:fill="auto"/>
            <w:vAlign w:val="center"/>
          </w:tcPr>
          <w:p w14:paraId="34CA138A">
            <w:pPr>
              <w:widowControl/>
              <w:jc w:val="center"/>
              <w:textAlignment w:val="center"/>
              <w:rPr>
                <w:rFonts w:eastAsiaTheme="minorEastAsia"/>
                <w:color w:val="auto"/>
                <w:szCs w:val="21"/>
              </w:rPr>
            </w:pPr>
            <w:r>
              <w:rPr>
                <w:rFonts w:hAnsiTheme="minorEastAsia" w:eastAsiaTheme="minorEastAsia"/>
                <w:color w:val="auto"/>
                <w:kern w:val="0"/>
                <w:szCs w:val="21"/>
              </w:rPr>
              <w:t>满意度指标</w:t>
            </w:r>
          </w:p>
        </w:tc>
        <w:tc>
          <w:tcPr>
            <w:tcW w:w="871" w:type="dxa"/>
            <w:gridSpan w:val="2"/>
            <w:tcBorders>
              <w:top w:val="single" w:color="000000" w:sz="4" w:space="0"/>
              <w:left w:val="single" w:color="000000" w:sz="4" w:space="0"/>
              <w:bottom w:val="nil"/>
              <w:right w:val="single" w:color="000000" w:sz="4" w:space="0"/>
            </w:tcBorders>
            <w:shd w:val="clear" w:color="auto" w:fill="auto"/>
            <w:vAlign w:val="center"/>
          </w:tcPr>
          <w:p w14:paraId="41C4B7C6">
            <w:pPr>
              <w:widowControl/>
              <w:jc w:val="center"/>
              <w:textAlignment w:val="center"/>
              <w:rPr>
                <w:rFonts w:eastAsiaTheme="minorEastAsia"/>
                <w:color w:val="auto"/>
                <w:szCs w:val="21"/>
              </w:rPr>
            </w:pPr>
            <w:r>
              <w:rPr>
                <w:rFonts w:hAnsiTheme="minorEastAsia" w:eastAsiaTheme="minorEastAsia"/>
                <w:color w:val="auto"/>
                <w:kern w:val="0"/>
                <w:szCs w:val="21"/>
              </w:rPr>
              <w:t>服务对象满意度指标</w:t>
            </w:r>
          </w:p>
        </w:tc>
        <w:tc>
          <w:tcPr>
            <w:tcW w:w="1362" w:type="dxa"/>
            <w:gridSpan w:val="3"/>
            <w:tcBorders>
              <w:top w:val="single" w:color="000000" w:sz="4" w:space="0"/>
              <w:left w:val="single" w:color="000000" w:sz="4" w:space="0"/>
              <w:bottom w:val="nil"/>
              <w:right w:val="single" w:color="000000" w:sz="4" w:space="0"/>
            </w:tcBorders>
            <w:shd w:val="clear" w:color="auto" w:fill="auto"/>
            <w:vAlign w:val="center"/>
          </w:tcPr>
          <w:p w14:paraId="1521EB24">
            <w:pPr>
              <w:widowControl/>
              <w:jc w:val="center"/>
              <w:textAlignment w:val="center"/>
              <w:rPr>
                <w:rFonts w:hint="eastAsia" w:hAnsiTheme="minorEastAsia" w:eastAsiaTheme="minorEastAsia"/>
                <w:color w:val="auto"/>
                <w:kern w:val="0"/>
                <w:szCs w:val="21"/>
              </w:rPr>
            </w:pPr>
            <w:r>
              <w:rPr>
                <w:rFonts w:hAnsiTheme="minorEastAsia" w:eastAsiaTheme="minorEastAsia"/>
                <w:color w:val="auto"/>
                <w:kern w:val="0"/>
                <w:szCs w:val="21"/>
              </w:rPr>
              <w:t>赔偿请求人</w:t>
            </w:r>
          </w:p>
          <w:p w14:paraId="10E77EB7">
            <w:pPr>
              <w:widowControl/>
              <w:jc w:val="center"/>
              <w:textAlignment w:val="center"/>
              <w:rPr>
                <w:rFonts w:eastAsiaTheme="minorEastAsia"/>
                <w:color w:val="auto"/>
                <w:szCs w:val="21"/>
              </w:rPr>
            </w:pPr>
            <w:r>
              <w:rPr>
                <w:rFonts w:hAnsiTheme="minorEastAsia" w:eastAsiaTheme="minorEastAsia"/>
                <w:color w:val="auto"/>
                <w:kern w:val="0"/>
                <w:szCs w:val="21"/>
              </w:rPr>
              <w:t>满意度</w:t>
            </w:r>
          </w:p>
        </w:tc>
        <w:tc>
          <w:tcPr>
            <w:tcW w:w="602" w:type="dxa"/>
            <w:tcBorders>
              <w:top w:val="single" w:color="000000" w:sz="4" w:space="0"/>
              <w:left w:val="single" w:color="000000" w:sz="4" w:space="0"/>
              <w:bottom w:val="nil"/>
              <w:right w:val="single" w:color="000000" w:sz="4" w:space="0"/>
            </w:tcBorders>
            <w:shd w:val="clear" w:color="auto" w:fill="auto"/>
            <w:vAlign w:val="center"/>
          </w:tcPr>
          <w:p w14:paraId="5C5FE1BD">
            <w:pPr>
              <w:widowControl/>
              <w:jc w:val="center"/>
              <w:textAlignment w:val="center"/>
              <w:rPr>
                <w:rFonts w:eastAsiaTheme="minorEastAsia"/>
                <w:color w:val="auto"/>
                <w:szCs w:val="21"/>
              </w:rPr>
            </w:pPr>
            <w:r>
              <w:rPr>
                <w:rFonts w:hAnsiTheme="minorEastAsia" w:eastAsiaTheme="minorEastAsia"/>
                <w:color w:val="auto"/>
                <w:kern w:val="0"/>
                <w:szCs w:val="21"/>
              </w:rPr>
              <w:t>正向</w:t>
            </w:r>
          </w:p>
        </w:tc>
        <w:tc>
          <w:tcPr>
            <w:tcW w:w="663" w:type="dxa"/>
            <w:gridSpan w:val="2"/>
            <w:tcBorders>
              <w:top w:val="single" w:color="000000" w:sz="4" w:space="0"/>
              <w:left w:val="single" w:color="000000" w:sz="4" w:space="0"/>
              <w:bottom w:val="nil"/>
              <w:right w:val="single" w:color="000000" w:sz="4" w:space="0"/>
            </w:tcBorders>
            <w:shd w:val="clear" w:color="auto" w:fill="auto"/>
            <w:vAlign w:val="center"/>
          </w:tcPr>
          <w:p w14:paraId="46B87805">
            <w:pPr>
              <w:widowControl/>
              <w:jc w:val="center"/>
              <w:textAlignment w:val="center"/>
              <w:rPr>
                <w:rFonts w:eastAsiaTheme="minorEastAsia"/>
                <w:color w:val="auto"/>
                <w:szCs w:val="21"/>
              </w:rPr>
            </w:pPr>
            <w:r>
              <w:rPr>
                <w:rFonts w:hAnsiTheme="minorEastAsia" w:eastAsiaTheme="minorEastAsia"/>
                <w:color w:val="auto"/>
                <w:kern w:val="0"/>
                <w:szCs w:val="21"/>
              </w:rPr>
              <w:t>大于等于</w:t>
            </w:r>
          </w:p>
        </w:tc>
        <w:tc>
          <w:tcPr>
            <w:tcW w:w="1072" w:type="dxa"/>
            <w:gridSpan w:val="2"/>
            <w:tcBorders>
              <w:top w:val="single" w:color="000000" w:sz="4" w:space="0"/>
              <w:left w:val="single" w:color="000000" w:sz="4" w:space="0"/>
              <w:bottom w:val="nil"/>
              <w:right w:val="single" w:color="000000" w:sz="4" w:space="0"/>
            </w:tcBorders>
            <w:shd w:val="clear" w:color="auto" w:fill="auto"/>
            <w:vAlign w:val="center"/>
          </w:tcPr>
          <w:p w14:paraId="3A84540E">
            <w:pPr>
              <w:widowControl/>
              <w:jc w:val="center"/>
              <w:textAlignment w:val="center"/>
              <w:rPr>
                <w:rFonts w:eastAsiaTheme="minorEastAsia"/>
                <w:color w:val="auto"/>
                <w:szCs w:val="21"/>
              </w:rPr>
            </w:pPr>
            <w:r>
              <w:rPr>
                <w:rFonts w:eastAsiaTheme="minorEastAsia"/>
                <w:color w:val="auto"/>
                <w:kern w:val="0"/>
                <w:szCs w:val="21"/>
              </w:rPr>
              <w:t>90</w:t>
            </w:r>
          </w:p>
        </w:tc>
        <w:tc>
          <w:tcPr>
            <w:tcW w:w="1131" w:type="dxa"/>
            <w:gridSpan w:val="3"/>
            <w:tcBorders>
              <w:top w:val="single" w:color="000000" w:sz="4" w:space="0"/>
              <w:left w:val="single" w:color="000000" w:sz="4" w:space="0"/>
              <w:bottom w:val="nil"/>
              <w:right w:val="single" w:color="000000" w:sz="4" w:space="0"/>
            </w:tcBorders>
            <w:shd w:val="clear" w:color="auto" w:fill="auto"/>
            <w:vAlign w:val="center"/>
          </w:tcPr>
          <w:p w14:paraId="683F3F4E">
            <w:pPr>
              <w:widowControl/>
              <w:jc w:val="center"/>
              <w:textAlignment w:val="center"/>
              <w:rPr>
                <w:rFonts w:eastAsiaTheme="minorEastAsia"/>
                <w:color w:val="auto"/>
                <w:szCs w:val="21"/>
              </w:rPr>
            </w:pPr>
            <w:r>
              <w:rPr>
                <w:rFonts w:eastAsiaTheme="minorEastAsia"/>
                <w:color w:val="auto"/>
                <w:kern w:val="0"/>
                <w:szCs w:val="21"/>
              </w:rPr>
              <w:t>90</w:t>
            </w:r>
          </w:p>
        </w:tc>
        <w:tc>
          <w:tcPr>
            <w:tcW w:w="620" w:type="dxa"/>
            <w:gridSpan w:val="2"/>
            <w:tcBorders>
              <w:top w:val="single" w:color="000000" w:sz="4" w:space="0"/>
              <w:left w:val="single" w:color="000000" w:sz="4" w:space="0"/>
              <w:bottom w:val="nil"/>
              <w:right w:val="single" w:color="000000" w:sz="4" w:space="0"/>
            </w:tcBorders>
            <w:shd w:val="clear" w:color="auto" w:fill="auto"/>
            <w:vAlign w:val="center"/>
          </w:tcPr>
          <w:p w14:paraId="06C87288">
            <w:pPr>
              <w:widowControl/>
              <w:jc w:val="center"/>
              <w:textAlignment w:val="center"/>
              <w:rPr>
                <w:rFonts w:eastAsiaTheme="minorEastAsia"/>
                <w:color w:val="auto"/>
                <w:szCs w:val="21"/>
              </w:rPr>
            </w:pPr>
            <w:r>
              <w:rPr>
                <w:rFonts w:eastAsiaTheme="minorEastAsia"/>
                <w:color w:val="auto"/>
                <w:kern w:val="0"/>
                <w:szCs w:val="21"/>
              </w:rPr>
              <w:t>%</w:t>
            </w:r>
          </w:p>
        </w:tc>
        <w:tc>
          <w:tcPr>
            <w:tcW w:w="730" w:type="dxa"/>
            <w:gridSpan w:val="2"/>
            <w:tcBorders>
              <w:top w:val="single" w:color="000000" w:sz="4" w:space="0"/>
              <w:left w:val="single" w:color="000000" w:sz="4" w:space="0"/>
              <w:bottom w:val="nil"/>
              <w:right w:val="single" w:color="000000" w:sz="4" w:space="0"/>
            </w:tcBorders>
            <w:shd w:val="clear" w:color="auto" w:fill="auto"/>
            <w:vAlign w:val="center"/>
          </w:tcPr>
          <w:p w14:paraId="55C63BF8">
            <w:pPr>
              <w:widowControl/>
              <w:jc w:val="center"/>
              <w:textAlignment w:val="center"/>
              <w:rPr>
                <w:rFonts w:eastAsiaTheme="minorEastAsia"/>
                <w:color w:val="auto"/>
                <w:szCs w:val="21"/>
              </w:rPr>
            </w:pPr>
            <w:r>
              <w:rPr>
                <w:rFonts w:eastAsiaTheme="minorEastAsia"/>
                <w:color w:val="auto"/>
                <w:kern w:val="0"/>
                <w:szCs w:val="21"/>
              </w:rPr>
              <w:t>10</w:t>
            </w:r>
          </w:p>
        </w:tc>
        <w:tc>
          <w:tcPr>
            <w:tcW w:w="617" w:type="dxa"/>
            <w:tcBorders>
              <w:top w:val="single" w:color="000000" w:sz="4" w:space="0"/>
              <w:left w:val="single" w:color="000000" w:sz="4" w:space="0"/>
              <w:bottom w:val="nil"/>
              <w:right w:val="single" w:color="000000" w:sz="4" w:space="0"/>
            </w:tcBorders>
            <w:shd w:val="clear" w:color="auto" w:fill="auto"/>
            <w:vAlign w:val="center"/>
          </w:tcPr>
          <w:p w14:paraId="3AF1C9D4">
            <w:pPr>
              <w:widowControl/>
              <w:jc w:val="center"/>
              <w:textAlignment w:val="center"/>
              <w:rPr>
                <w:rFonts w:eastAsiaTheme="minorEastAsia"/>
                <w:color w:val="auto"/>
                <w:szCs w:val="21"/>
              </w:rPr>
            </w:pPr>
            <w:r>
              <w:rPr>
                <w:rFonts w:eastAsiaTheme="minorEastAsia"/>
                <w:color w:val="auto"/>
                <w:kern w:val="0"/>
                <w:szCs w:val="21"/>
              </w:rPr>
              <w:t>10</w:t>
            </w:r>
          </w:p>
        </w:tc>
        <w:tc>
          <w:tcPr>
            <w:tcW w:w="923" w:type="dxa"/>
            <w:tcBorders>
              <w:top w:val="single" w:color="000000" w:sz="4" w:space="0"/>
              <w:left w:val="single" w:color="000000" w:sz="4" w:space="0"/>
              <w:bottom w:val="nil"/>
              <w:right w:val="single" w:color="000000" w:sz="4" w:space="0"/>
            </w:tcBorders>
            <w:shd w:val="clear" w:color="auto" w:fill="auto"/>
            <w:vAlign w:val="center"/>
          </w:tcPr>
          <w:p w14:paraId="26652684">
            <w:pPr>
              <w:jc w:val="center"/>
              <w:rPr>
                <w:rFonts w:eastAsiaTheme="minorEastAsia"/>
                <w:color w:val="auto"/>
                <w:szCs w:val="21"/>
              </w:rPr>
            </w:pPr>
          </w:p>
        </w:tc>
      </w:tr>
      <w:tr w14:paraId="5B47321C">
        <w:tblPrEx>
          <w:tblCellMar>
            <w:top w:w="0" w:type="dxa"/>
            <w:left w:w="28" w:type="dxa"/>
            <w:bottom w:w="0" w:type="dxa"/>
            <w:right w:w="28" w:type="dxa"/>
          </w:tblCellMar>
        </w:tblPrEx>
        <w:trPr>
          <w:gridAfter w:val="1"/>
          <w:wAfter w:w="97" w:type="dxa"/>
          <w:trHeight w:val="840" w:hRule="atLeast"/>
          <w:jc w:val="center"/>
        </w:trPr>
        <w:tc>
          <w:tcPr>
            <w:tcW w:w="7302"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113BD89C">
            <w:pPr>
              <w:widowControl/>
              <w:jc w:val="center"/>
              <w:textAlignment w:val="center"/>
              <w:rPr>
                <w:rFonts w:eastAsiaTheme="minorEastAsia"/>
                <w:color w:val="auto"/>
                <w:szCs w:val="21"/>
              </w:rPr>
            </w:pPr>
            <w:r>
              <w:rPr>
                <w:rFonts w:hAnsiTheme="minorEastAsia" w:eastAsiaTheme="minorEastAsia"/>
                <w:color w:val="auto"/>
                <w:kern w:val="0"/>
                <w:szCs w:val="21"/>
              </w:rPr>
              <w:t>总分</w:t>
            </w:r>
          </w:p>
        </w:tc>
        <w:tc>
          <w:tcPr>
            <w:tcW w:w="7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D5A02">
            <w:pPr>
              <w:widowControl/>
              <w:jc w:val="center"/>
              <w:textAlignment w:val="center"/>
              <w:rPr>
                <w:rFonts w:eastAsiaTheme="minorEastAsia"/>
                <w:color w:val="auto"/>
                <w:szCs w:val="21"/>
              </w:rPr>
            </w:pPr>
            <w:r>
              <w:rPr>
                <w:rFonts w:eastAsiaTheme="minorEastAsia"/>
                <w:color w:val="auto"/>
                <w:kern w:val="0"/>
                <w:szCs w:val="21"/>
              </w:rPr>
              <w:t>100</w:t>
            </w:r>
          </w:p>
        </w:tc>
        <w:tc>
          <w:tcPr>
            <w:tcW w:w="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3CB4">
            <w:pPr>
              <w:widowControl/>
              <w:jc w:val="center"/>
              <w:textAlignment w:val="center"/>
              <w:rPr>
                <w:rFonts w:eastAsiaTheme="minorEastAsia"/>
                <w:color w:val="auto"/>
                <w:szCs w:val="21"/>
              </w:rPr>
            </w:pPr>
            <w:r>
              <w:rPr>
                <w:rFonts w:eastAsiaTheme="minorEastAsia"/>
                <w:color w:val="auto"/>
                <w:kern w:val="0"/>
                <w:szCs w:val="21"/>
              </w:rPr>
              <w:t>100</w:t>
            </w:r>
          </w:p>
        </w:tc>
        <w:tc>
          <w:tcPr>
            <w:tcW w:w="9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B56D">
            <w:pPr>
              <w:jc w:val="center"/>
              <w:rPr>
                <w:rFonts w:eastAsiaTheme="minorEastAsia"/>
                <w:color w:val="auto"/>
                <w:szCs w:val="21"/>
              </w:rPr>
            </w:pPr>
          </w:p>
        </w:tc>
      </w:tr>
      <w:tr w14:paraId="252A7ADE">
        <w:tblPrEx>
          <w:tblCellMar>
            <w:top w:w="0" w:type="dxa"/>
            <w:left w:w="28" w:type="dxa"/>
            <w:bottom w:w="0" w:type="dxa"/>
            <w:right w:w="28" w:type="dxa"/>
          </w:tblCellMar>
        </w:tblPrEx>
        <w:trPr>
          <w:trHeight w:val="960" w:hRule="atLeast"/>
          <w:jc w:val="center"/>
        </w:trPr>
        <w:tc>
          <w:tcPr>
            <w:tcW w:w="9669" w:type="dxa"/>
            <w:gridSpan w:val="24"/>
            <w:tcBorders>
              <w:top w:val="single" w:color="000000" w:sz="4" w:space="0"/>
              <w:left w:val="single" w:color="000000" w:sz="4" w:space="0"/>
              <w:bottom w:val="single" w:color="000000" w:sz="4" w:space="0"/>
              <w:right w:val="single" w:color="000000" w:sz="4" w:space="0"/>
            </w:tcBorders>
            <w:shd w:val="clear" w:color="auto" w:fill="auto"/>
            <w:vAlign w:val="center"/>
          </w:tcPr>
          <w:p w14:paraId="6C709F77">
            <w:pPr>
              <w:widowControl/>
              <w:spacing w:line="400" w:lineRule="exact"/>
              <w:jc w:val="center"/>
              <w:textAlignment w:val="center"/>
              <w:rPr>
                <w:rFonts w:hint="eastAsia" w:hAnsi="黑体" w:eastAsia="黑体"/>
                <w:bCs/>
                <w:color w:val="auto"/>
                <w:kern w:val="0"/>
                <w:sz w:val="30"/>
                <w:szCs w:val="30"/>
              </w:rPr>
            </w:pPr>
            <w:r>
              <w:rPr>
                <w:rFonts w:hint="eastAsia" w:hAnsi="黑体" w:eastAsia="黑体"/>
                <w:bCs/>
                <w:color w:val="auto"/>
                <w:kern w:val="0"/>
                <w:sz w:val="30"/>
                <w:szCs w:val="30"/>
              </w:rPr>
              <w:t>项目支出绩效自评表</w:t>
            </w:r>
          </w:p>
          <w:p w14:paraId="539D49E5">
            <w:pPr>
              <w:widowControl/>
              <w:spacing w:line="400" w:lineRule="exact"/>
              <w:jc w:val="center"/>
              <w:textAlignment w:val="center"/>
              <w:rPr>
                <w:rFonts w:hAnsi="黑体" w:eastAsia="黑体"/>
                <w:bCs/>
                <w:color w:val="auto"/>
                <w:kern w:val="0"/>
                <w:sz w:val="30"/>
                <w:szCs w:val="30"/>
              </w:rPr>
            </w:pPr>
            <w:r>
              <w:rPr>
                <w:rFonts w:hint="eastAsia" w:hAnsi="黑体" w:eastAsia="黑体"/>
                <w:bCs/>
                <w:color w:val="auto"/>
                <w:kern w:val="0"/>
                <w:sz w:val="30"/>
                <w:szCs w:val="30"/>
              </w:rPr>
              <w:t>(</w:t>
            </w:r>
            <w:r>
              <w:rPr>
                <w:rFonts w:hAnsi="黑体" w:eastAsia="黑体"/>
                <w:bCs/>
                <w:color w:val="auto"/>
                <w:kern w:val="0"/>
                <w:sz w:val="30"/>
                <w:szCs w:val="30"/>
              </w:rPr>
              <w:t>2025</w:t>
            </w:r>
            <w:r>
              <w:rPr>
                <w:rFonts w:hint="eastAsia" w:hAnsi="黑体" w:eastAsia="黑体"/>
                <w:bCs/>
                <w:color w:val="auto"/>
                <w:kern w:val="0"/>
                <w:sz w:val="30"/>
                <w:szCs w:val="30"/>
              </w:rPr>
              <w:t>年度）</w:t>
            </w:r>
          </w:p>
        </w:tc>
      </w:tr>
      <w:tr w14:paraId="189B5F04">
        <w:tblPrEx>
          <w:tblCellMar>
            <w:top w:w="0" w:type="dxa"/>
            <w:left w:w="28" w:type="dxa"/>
            <w:bottom w:w="0" w:type="dxa"/>
            <w:right w:w="28" w:type="dxa"/>
          </w:tblCellMar>
        </w:tblPrEx>
        <w:trPr>
          <w:trHeight w:val="731" w:hRule="atLeast"/>
          <w:jc w:val="center"/>
        </w:trPr>
        <w:tc>
          <w:tcPr>
            <w:tcW w:w="8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6B9279">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项目</w:t>
            </w:r>
          </w:p>
          <w:p w14:paraId="250619A0">
            <w:pPr>
              <w:widowControl/>
              <w:jc w:val="center"/>
              <w:textAlignment w:val="center"/>
              <w:rPr>
                <w:rFonts w:ascii="宋体" w:hAnsi="宋体" w:cs="宋体"/>
                <w:color w:val="auto"/>
                <w:szCs w:val="21"/>
              </w:rPr>
            </w:pPr>
            <w:r>
              <w:rPr>
                <w:rFonts w:hint="eastAsia" w:ascii="宋体" w:hAnsi="宋体" w:cs="宋体"/>
                <w:color w:val="auto"/>
                <w:kern w:val="0"/>
                <w:szCs w:val="21"/>
              </w:rPr>
              <w:t>名称</w:t>
            </w:r>
          </w:p>
        </w:tc>
        <w:tc>
          <w:tcPr>
            <w:tcW w:w="8782"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387812C">
            <w:pPr>
              <w:widowControl/>
              <w:jc w:val="center"/>
              <w:textAlignment w:val="center"/>
              <w:rPr>
                <w:rFonts w:ascii="宋体" w:hAnsi="宋体" w:cs="宋体"/>
                <w:color w:val="auto"/>
                <w:szCs w:val="21"/>
              </w:rPr>
            </w:pPr>
            <w:r>
              <w:rPr>
                <w:rFonts w:hint="eastAsia" w:ascii="宋体" w:hAnsi="宋体" w:cs="宋体"/>
                <w:color w:val="auto"/>
                <w:kern w:val="0"/>
                <w:szCs w:val="21"/>
              </w:rPr>
              <w:t>检察官培训费</w:t>
            </w:r>
          </w:p>
        </w:tc>
      </w:tr>
      <w:tr w14:paraId="48AE5FD4">
        <w:tblPrEx>
          <w:tblCellMar>
            <w:top w:w="0" w:type="dxa"/>
            <w:left w:w="28" w:type="dxa"/>
            <w:bottom w:w="0" w:type="dxa"/>
            <w:right w:w="28" w:type="dxa"/>
          </w:tblCellMar>
        </w:tblPrEx>
        <w:trPr>
          <w:trHeight w:val="851" w:hRule="exact"/>
          <w:jc w:val="center"/>
        </w:trPr>
        <w:tc>
          <w:tcPr>
            <w:tcW w:w="8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E3C06">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主管</w:t>
            </w:r>
          </w:p>
          <w:p w14:paraId="75B06A4E">
            <w:pPr>
              <w:widowControl/>
              <w:jc w:val="center"/>
              <w:textAlignment w:val="center"/>
              <w:rPr>
                <w:rFonts w:ascii="宋体" w:hAnsi="宋体" w:cs="宋体"/>
                <w:color w:val="auto"/>
                <w:szCs w:val="21"/>
              </w:rPr>
            </w:pPr>
            <w:r>
              <w:rPr>
                <w:rFonts w:hint="eastAsia" w:ascii="宋体" w:hAnsi="宋体" w:cs="宋体"/>
                <w:color w:val="auto"/>
                <w:kern w:val="0"/>
                <w:szCs w:val="21"/>
              </w:rPr>
              <w:t>部门</w:t>
            </w:r>
          </w:p>
        </w:tc>
        <w:tc>
          <w:tcPr>
            <w:tcW w:w="306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CD9F9F">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内蒙古自治区人民检察院部门</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310D2F">
            <w:pPr>
              <w:widowControl/>
              <w:jc w:val="center"/>
              <w:textAlignment w:val="center"/>
              <w:rPr>
                <w:rFonts w:ascii="宋体" w:hAnsi="宋体" w:cs="宋体"/>
                <w:color w:val="auto"/>
                <w:szCs w:val="21"/>
              </w:rPr>
            </w:pPr>
            <w:r>
              <w:rPr>
                <w:rFonts w:hint="eastAsia" w:ascii="宋体" w:hAnsi="宋体" w:cs="宋体"/>
                <w:color w:val="auto"/>
                <w:kern w:val="0"/>
                <w:szCs w:val="21"/>
              </w:rPr>
              <w:t>实施单位</w:t>
            </w:r>
          </w:p>
        </w:tc>
        <w:tc>
          <w:tcPr>
            <w:tcW w:w="38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DA9127">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w:t>
            </w:r>
          </w:p>
        </w:tc>
      </w:tr>
      <w:tr w14:paraId="02562A9B">
        <w:tblPrEx>
          <w:tblCellMar>
            <w:top w:w="0" w:type="dxa"/>
            <w:left w:w="28" w:type="dxa"/>
            <w:bottom w:w="0" w:type="dxa"/>
            <w:right w:w="28" w:type="dxa"/>
          </w:tblCellMar>
        </w:tblPrEx>
        <w:trPr>
          <w:trHeight w:val="851" w:hRule="exact"/>
          <w:jc w:val="center"/>
        </w:trPr>
        <w:tc>
          <w:tcPr>
            <w:tcW w:w="8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E96C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项目</w:t>
            </w:r>
          </w:p>
          <w:p w14:paraId="73A142B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774603CE">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CCD72">
            <w:pPr>
              <w:jc w:val="center"/>
              <w:rPr>
                <w:rFonts w:ascii="宋体" w:hAnsi="宋体" w:cs="宋体"/>
                <w:color w:val="auto"/>
                <w:szCs w:val="21"/>
              </w:rPr>
            </w:pP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C913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年初</w:t>
            </w:r>
          </w:p>
          <w:p w14:paraId="4D25A1D0">
            <w:pPr>
              <w:widowControl/>
              <w:jc w:val="center"/>
              <w:textAlignment w:val="center"/>
              <w:rPr>
                <w:rFonts w:ascii="宋体" w:hAnsi="宋体" w:cs="宋体"/>
                <w:color w:val="auto"/>
                <w:szCs w:val="21"/>
              </w:rPr>
            </w:pPr>
            <w:r>
              <w:rPr>
                <w:rFonts w:hint="eastAsia" w:ascii="宋体" w:hAnsi="宋体" w:cs="宋体"/>
                <w:color w:val="auto"/>
                <w:kern w:val="0"/>
                <w:szCs w:val="21"/>
              </w:rPr>
              <w:t>预算数</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5E8AEA">
            <w:pPr>
              <w:widowControl/>
              <w:jc w:val="center"/>
              <w:textAlignment w:val="center"/>
              <w:rPr>
                <w:rFonts w:ascii="宋体" w:hAnsi="宋体" w:cs="宋体"/>
                <w:color w:val="auto"/>
                <w:szCs w:val="21"/>
              </w:rPr>
            </w:pPr>
            <w:r>
              <w:rPr>
                <w:rFonts w:hint="eastAsia" w:ascii="宋体" w:hAnsi="宋体" w:cs="宋体"/>
                <w:color w:val="auto"/>
                <w:kern w:val="0"/>
                <w:szCs w:val="21"/>
              </w:rPr>
              <w:t>全年预算数</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9C609C">
            <w:pPr>
              <w:widowControl/>
              <w:jc w:val="center"/>
              <w:textAlignment w:val="center"/>
              <w:rPr>
                <w:rFonts w:ascii="宋体" w:hAnsi="宋体" w:cs="宋体"/>
                <w:color w:val="auto"/>
                <w:szCs w:val="21"/>
              </w:rPr>
            </w:pPr>
            <w:r>
              <w:rPr>
                <w:rFonts w:hint="eastAsia" w:ascii="宋体" w:hAnsi="宋体" w:cs="宋体"/>
                <w:color w:val="auto"/>
                <w:kern w:val="0"/>
                <w:szCs w:val="21"/>
              </w:rPr>
              <w:t>全年执行数</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6017">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49ADB2">
            <w:pPr>
              <w:widowControl/>
              <w:jc w:val="center"/>
              <w:textAlignment w:val="center"/>
              <w:rPr>
                <w:rFonts w:ascii="宋体" w:hAnsi="宋体" w:cs="宋体"/>
                <w:color w:val="auto"/>
                <w:szCs w:val="21"/>
              </w:rPr>
            </w:pPr>
            <w:r>
              <w:rPr>
                <w:rFonts w:hint="eastAsia" w:ascii="宋体" w:hAnsi="宋体" w:cs="宋体"/>
                <w:color w:val="auto"/>
                <w:kern w:val="0"/>
                <w:szCs w:val="21"/>
              </w:rPr>
              <w:t>执行率（%）</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F1CCEE">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r>
      <w:tr w14:paraId="14DC6B88">
        <w:tblPrEx>
          <w:tblCellMar>
            <w:top w:w="0" w:type="dxa"/>
            <w:left w:w="28" w:type="dxa"/>
            <w:bottom w:w="0" w:type="dxa"/>
            <w:right w:w="28" w:type="dxa"/>
          </w:tblCellMar>
        </w:tblPrEx>
        <w:trPr>
          <w:trHeight w:val="1107"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DA4E8">
            <w:pPr>
              <w:jc w:val="center"/>
              <w:rPr>
                <w:rFonts w:ascii="宋体" w:hAnsi="宋体" w:cs="宋体"/>
                <w:color w:val="auto"/>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3CB4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55DA4D7C">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5A848168">
            <w:pPr>
              <w:widowControl/>
              <w:jc w:val="center"/>
              <w:textAlignment w:val="center"/>
              <w:rPr>
                <w:rFonts w:ascii="宋体" w:hAnsi="宋体" w:cs="宋体"/>
                <w:color w:val="auto"/>
                <w:szCs w:val="21"/>
              </w:rPr>
            </w:pPr>
            <w:r>
              <w:rPr>
                <w:rFonts w:hint="eastAsia" w:ascii="宋体" w:hAnsi="宋体" w:cs="宋体"/>
                <w:color w:val="auto"/>
                <w:kern w:val="0"/>
                <w:szCs w:val="21"/>
              </w:rPr>
              <w:t>总额</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CCEFF">
            <w:pPr>
              <w:widowControl/>
              <w:jc w:val="center"/>
              <w:textAlignment w:val="center"/>
              <w:rPr>
                <w:rFonts w:ascii="宋体" w:hAnsi="宋体" w:cs="宋体"/>
                <w:color w:val="auto"/>
                <w:szCs w:val="21"/>
              </w:rPr>
            </w:pPr>
            <w:r>
              <w:rPr>
                <w:color w:val="auto"/>
                <w:kern w:val="0"/>
                <w:szCs w:val="21"/>
              </w:rPr>
              <w:t>252</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A713AF">
            <w:pPr>
              <w:widowControl/>
              <w:jc w:val="center"/>
              <w:textAlignment w:val="center"/>
              <w:rPr>
                <w:rFonts w:ascii="宋体" w:hAnsi="宋体" w:cs="宋体"/>
                <w:color w:val="auto"/>
                <w:szCs w:val="21"/>
              </w:rPr>
            </w:pPr>
            <w:r>
              <w:rPr>
                <w:color w:val="auto"/>
                <w:kern w:val="0"/>
                <w:szCs w:val="21"/>
              </w:rPr>
              <w:t>252</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C3195E">
            <w:pPr>
              <w:widowControl/>
              <w:jc w:val="center"/>
              <w:textAlignment w:val="center"/>
              <w:rPr>
                <w:rFonts w:ascii="宋体" w:hAnsi="宋体" w:cs="宋体"/>
                <w:color w:val="auto"/>
                <w:szCs w:val="21"/>
              </w:rPr>
            </w:pPr>
            <w:r>
              <w:rPr>
                <w:color w:val="auto"/>
                <w:kern w:val="0"/>
                <w:szCs w:val="21"/>
              </w:rPr>
              <w:t>252</w:t>
            </w:r>
            <w:r>
              <w:rPr>
                <w:rFonts w:hint="eastAsia" w:ascii="宋体" w:hAnsi="宋体" w:cs="宋体"/>
                <w:color w:val="auto"/>
                <w:kern w:val="0"/>
                <w:szCs w:val="21"/>
              </w:rPr>
              <w:t>.</w:t>
            </w:r>
            <w:r>
              <w:rPr>
                <w:color w:val="auto"/>
                <w:kern w:val="0"/>
                <w:szCs w:val="21"/>
              </w:rPr>
              <w:t>00</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CD04">
            <w:pPr>
              <w:widowControl/>
              <w:jc w:val="center"/>
              <w:textAlignment w:val="center"/>
              <w:rPr>
                <w:rFonts w:ascii="宋体" w:hAnsi="宋体" w:cs="宋体"/>
                <w:color w:val="auto"/>
                <w:szCs w:val="21"/>
              </w:rPr>
            </w:pPr>
            <w:r>
              <w:rPr>
                <w:color w:val="auto"/>
                <w:kern w:val="0"/>
                <w:szCs w:val="21"/>
              </w:rPr>
              <w:t>10</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076544">
            <w:pPr>
              <w:widowControl/>
              <w:jc w:val="center"/>
              <w:textAlignment w:val="center"/>
              <w:rPr>
                <w:rFonts w:ascii="宋体" w:hAnsi="宋体" w:cs="宋体"/>
                <w:color w:val="auto"/>
                <w:szCs w:val="21"/>
              </w:rPr>
            </w:pPr>
            <w:r>
              <w:rPr>
                <w:color w:val="auto"/>
                <w:kern w:val="0"/>
                <w:szCs w:val="21"/>
              </w:rPr>
              <w:t>252</w:t>
            </w:r>
            <w:r>
              <w:rPr>
                <w:rFonts w:hint="eastAsia" w:ascii="宋体" w:hAnsi="宋体" w:cs="宋体"/>
                <w:color w:val="auto"/>
                <w:kern w:val="0"/>
                <w:szCs w:val="21"/>
              </w:rPr>
              <w:t>.</w:t>
            </w:r>
            <w:r>
              <w:rPr>
                <w:color w:val="auto"/>
                <w:kern w:val="0"/>
                <w:szCs w:val="21"/>
              </w:rPr>
              <w:t>00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7AEB1B">
            <w:pPr>
              <w:widowControl/>
              <w:jc w:val="center"/>
              <w:textAlignment w:val="center"/>
              <w:rPr>
                <w:rFonts w:ascii="宋体" w:hAnsi="宋体" w:cs="宋体"/>
                <w:color w:val="auto"/>
                <w:szCs w:val="21"/>
              </w:rPr>
            </w:pPr>
            <w:r>
              <w:rPr>
                <w:color w:val="auto"/>
                <w:kern w:val="0"/>
                <w:szCs w:val="21"/>
              </w:rPr>
              <w:t>10</w:t>
            </w:r>
            <w:r>
              <w:rPr>
                <w:rFonts w:hint="eastAsia" w:ascii="宋体" w:hAnsi="宋体" w:cs="宋体"/>
                <w:color w:val="auto"/>
                <w:kern w:val="0"/>
                <w:szCs w:val="21"/>
              </w:rPr>
              <w:t>.</w:t>
            </w:r>
            <w:r>
              <w:rPr>
                <w:color w:val="auto"/>
                <w:kern w:val="0"/>
                <w:szCs w:val="21"/>
              </w:rPr>
              <w:t>00</w:t>
            </w:r>
          </w:p>
        </w:tc>
      </w:tr>
      <w:tr w14:paraId="7D31AEF8">
        <w:tblPrEx>
          <w:tblCellMar>
            <w:top w:w="0" w:type="dxa"/>
            <w:left w:w="28" w:type="dxa"/>
            <w:bottom w:w="0" w:type="dxa"/>
            <w:right w:w="28" w:type="dxa"/>
          </w:tblCellMar>
        </w:tblPrEx>
        <w:trPr>
          <w:trHeight w:val="1121"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14180">
            <w:pPr>
              <w:jc w:val="center"/>
              <w:rPr>
                <w:rFonts w:ascii="宋体" w:hAnsi="宋体" w:cs="宋体"/>
                <w:color w:val="auto"/>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08D49B">
            <w:pPr>
              <w:widowControl/>
              <w:jc w:val="center"/>
              <w:textAlignment w:val="center"/>
              <w:rPr>
                <w:rFonts w:ascii="宋体" w:hAnsi="宋体" w:cs="宋体"/>
                <w:color w:val="auto"/>
                <w:szCs w:val="21"/>
              </w:rPr>
            </w:pPr>
            <w:r>
              <w:rPr>
                <w:rFonts w:hint="eastAsia" w:ascii="宋体" w:hAnsi="宋体" w:cs="宋体"/>
                <w:color w:val="auto"/>
                <w:kern w:val="0"/>
                <w:szCs w:val="21"/>
              </w:rPr>
              <w:t>其中：财政拨款</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5DF8C">
            <w:pPr>
              <w:widowControl/>
              <w:jc w:val="center"/>
              <w:textAlignment w:val="center"/>
              <w:rPr>
                <w:rFonts w:ascii="宋体" w:hAnsi="宋体" w:cs="宋体"/>
                <w:color w:val="auto"/>
                <w:szCs w:val="21"/>
              </w:rPr>
            </w:pPr>
            <w:r>
              <w:rPr>
                <w:color w:val="auto"/>
                <w:kern w:val="0"/>
                <w:szCs w:val="21"/>
              </w:rPr>
              <w:t>252</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C86CC8">
            <w:pPr>
              <w:widowControl/>
              <w:jc w:val="center"/>
              <w:textAlignment w:val="center"/>
              <w:rPr>
                <w:rFonts w:ascii="宋体" w:hAnsi="宋体" w:cs="宋体"/>
                <w:color w:val="auto"/>
                <w:szCs w:val="21"/>
              </w:rPr>
            </w:pPr>
            <w:r>
              <w:rPr>
                <w:color w:val="auto"/>
                <w:kern w:val="0"/>
                <w:szCs w:val="21"/>
              </w:rPr>
              <w:t>252</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2B9D3C">
            <w:pPr>
              <w:widowControl/>
              <w:jc w:val="center"/>
              <w:textAlignment w:val="center"/>
              <w:rPr>
                <w:rFonts w:ascii="宋体" w:hAnsi="宋体" w:cs="宋体"/>
                <w:color w:val="auto"/>
                <w:szCs w:val="21"/>
              </w:rPr>
            </w:pPr>
            <w:r>
              <w:rPr>
                <w:color w:val="auto"/>
                <w:kern w:val="0"/>
                <w:szCs w:val="21"/>
              </w:rPr>
              <w:t>252</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B35A">
            <w:pPr>
              <w:widowControl/>
              <w:jc w:val="center"/>
              <w:textAlignment w:val="center"/>
              <w:rPr>
                <w:rFonts w:ascii="Arial" w:hAnsi="Arial" w:cs="Arial"/>
                <w:color w:val="auto"/>
                <w:szCs w:val="21"/>
              </w:rPr>
            </w:pPr>
            <w:r>
              <w:rPr>
                <w:rFonts w:ascii="Arial" w:hAnsi="Arial" w:cs="Arial"/>
                <w:color w:val="auto"/>
                <w:kern w:val="0"/>
                <w:szCs w:val="21"/>
              </w:rPr>
              <w:t>——</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F33B48">
            <w:pPr>
              <w:widowControl/>
              <w:jc w:val="center"/>
              <w:textAlignment w:val="center"/>
              <w:rPr>
                <w:color w:val="auto"/>
                <w:szCs w:val="21"/>
              </w:rPr>
            </w:pPr>
            <w:r>
              <w:rPr>
                <w:color w:val="auto"/>
                <w:kern w:val="0"/>
                <w:szCs w:val="21"/>
              </w:rPr>
              <w:t>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CF319">
            <w:pPr>
              <w:widowControl/>
              <w:jc w:val="center"/>
              <w:textAlignment w:val="center"/>
              <w:rPr>
                <w:rFonts w:ascii="Arial" w:hAnsi="Arial" w:cs="Arial"/>
                <w:color w:val="auto"/>
                <w:szCs w:val="21"/>
              </w:rPr>
            </w:pPr>
            <w:r>
              <w:rPr>
                <w:rFonts w:ascii="Arial" w:hAnsi="Arial" w:cs="Arial"/>
                <w:color w:val="auto"/>
                <w:kern w:val="0"/>
                <w:szCs w:val="21"/>
              </w:rPr>
              <w:t>——</w:t>
            </w:r>
          </w:p>
        </w:tc>
      </w:tr>
      <w:tr w14:paraId="07BB8121">
        <w:tblPrEx>
          <w:tblCellMar>
            <w:top w:w="0" w:type="dxa"/>
            <w:left w:w="28" w:type="dxa"/>
            <w:bottom w:w="0" w:type="dxa"/>
            <w:right w:w="28" w:type="dxa"/>
          </w:tblCellMar>
        </w:tblPrEx>
        <w:trPr>
          <w:trHeight w:val="967"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E9A4E">
            <w:pPr>
              <w:jc w:val="center"/>
              <w:rPr>
                <w:rFonts w:ascii="宋体" w:hAnsi="宋体" w:cs="宋体"/>
                <w:color w:val="auto"/>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FA1B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上年</w:t>
            </w:r>
          </w:p>
          <w:p w14:paraId="611CE657">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结转</w:t>
            </w:r>
          </w:p>
          <w:p w14:paraId="28536A67">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B7B66">
            <w:pPr>
              <w:jc w:val="center"/>
              <w:rPr>
                <w:rFonts w:ascii="宋体" w:hAnsi="宋体" w:cs="宋体"/>
                <w:color w:val="auto"/>
                <w:szCs w:val="21"/>
              </w:rPr>
            </w:pP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F70FA7">
            <w:pPr>
              <w:jc w:val="center"/>
              <w:rPr>
                <w:rFonts w:ascii="宋体" w:hAnsi="宋体" w:cs="宋体"/>
                <w:color w:val="auto"/>
                <w:szCs w:val="21"/>
              </w:rPr>
            </w:pP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950C5">
            <w:pPr>
              <w:jc w:val="center"/>
              <w:rPr>
                <w:rFonts w:ascii="宋体" w:hAnsi="宋体" w:cs="宋体"/>
                <w:color w:val="auto"/>
                <w:szCs w:val="21"/>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ECED9">
            <w:pPr>
              <w:widowControl/>
              <w:jc w:val="center"/>
              <w:textAlignment w:val="center"/>
              <w:rPr>
                <w:rFonts w:ascii="Arial" w:hAnsi="Arial" w:cs="Arial"/>
                <w:color w:val="auto"/>
                <w:szCs w:val="21"/>
              </w:rPr>
            </w:pPr>
            <w:r>
              <w:rPr>
                <w:rFonts w:ascii="Arial" w:hAnsi="Arial" w:cs="Arial"/>
                <w:color w:val="auto"/>
                <w:kern w:val="0"/>
                <w:szCs w:val="21"/>
              </w:rPr>
              <w:t>——</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53ED15">
            <w:pPr>
              <w:jc w:val="center"/>
              <w:rPr>
                <w:rFonts w:ascii="宋体" w:hAnsi="宋体" w:cs="宋体"/>
                <w:color w:val="auto"/>
                <w:szCs w:val="21"/>
              </w:rPr>
            </w:pP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C0FE8">
            <w:pPr>
              <w:widowControl/>
              <w:jc w:val="center"/>
              <w:textAlignment w:val="center"/>
              <w:rPr>
                <w:rFonts w:ascii="Arial" w:hAnsi="Arial" w:cs="Arial"/>
                <w:color w:val="auto"/>
                <w:szCs w:val="21"/>
              </w:rPr>
            </w:pPr>
            <w:r>
              <w:rPr>
                <w:rFonts w:ascii="Arial" w:hAnsi="Arial" w:cs="Arial"/>
                <w:color w:val="auto"/>
                <w:kern w:val="0"/>
                <w:szCs w:val="21"/>
              </w:rPr>
              <w:t>——</w:t>
            </w:r>
          </w:p>
        </w:tc>
      </w:tr>
      <w:tr w14:paraId="26CBF533">
        <w:tblPrEx>
          <w:tblCellMar>
            <w:top w:w="0" w:type="dxa"/>
            <w:left w:w="28" w:type="dxa"/>
            <w:bottom w:w="0" w:type="dxa"/>
            <w:right w:w="28" w:type="dxa"/>
          </w:tblCellMar>
        </w:tblPrEx>
        <w:trPr>
          <w:trHeight w:val="851" w:hRule="exac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C7E5">
            <w:pPr>
              <w:jc w:val="center"/>
              <w:rPr>
                <w:rFonts w:ascii="宋体" w:hAnsi="宋体" w:cs="宋体"/>
                <w:color w:val="auto"/>
                <w:szCs w:val="21"/>
              </w:rPr>
            </w:pP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0A3B19">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其他</w:t>
            </w:r>
          </w:p>
          <w:p w14:paraId="1AEA3F06">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89FB2">
            <w:pPr>
              <w:widowControl/>
              <w:jc w:val="center"/>
              <w:textAlignment w:val="center"/>
              <w:rPr>
                <w:color w:val="auto"/>
                <w:szCs w:val="21"/>
              </w:rPr>
            </w:pPr>
            <w:r>
              <w:rPr>
                <w:color w:val="auto"/>
                <w:kern w:val="0"/>
                <w:szCs w:val="21"/>
              </w:rPr>
              <w:t>0</w:t>
            </w:r>
          </w:p>
        </w:tc>
        <w:tc>
          <w:tcPr>
            <w:tcW w:w="15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BD7691">
            <w:pPr>
              <w:widowControl/>
              <w:jc w:val="center"/>
              <w:textAlignment w:val="center"/>
              <w:rPr>
                <w:color w:val="auto"/>
                <w:szCs w:val="21"/>
              </w:rPr>
            </w:pPr>
            <w:r>
              <w:rPr>
                <w:color w:val="auto"/>
                <w:kern w:val="0"/>
                <w:szCs w:val="21"/>
              </w:rPr>
              <w:t>0</w:t>
            </w:r>
          </w:p>
        </w:tc>
        <w:tc>
          <w:tcPr>
            <w:tcW w:w="190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50A23C">
            <w:pPr>
              <w:widowControl/>
              <w:jc w:val="center"/>
              <w:textAlignment w:val="center"/>
              <w:rPr>
                <w:color w:val="auto"/>
                <w:szCs w:val="21"/>
              </w:rPr>
            </w:pPr>
            <w:r>
              <w:rPr>
                <w:color w:val="auto"/>
                <w:kern w:val="0"/>
                <w:szCs w:val="21"/>
              </w:rPr>
              <w:t>0</w:t>
            </w:r>
          </w:p>
        </w:tc>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3D481">
            <w:pPr>
              <w:widowControl/>
              <w:jc w:val="center"/>
              <w:textAlignment w:val="center"/>
              <w:rPr>
                <w:rFonts w:ascii="Arial" w:hAnsi="Arial" w:cs="Arial"/>
                <w:color w:val="auto"/>
                <w:szCs w:val="21"/>
              </w:rPr>
            </w:pPr>
            <w:r>
              <w:rPr>
                <w:rFonts w:ascii="Arial" w:hAnsi="Arial" w:cs="Arial"/>
                <w:color w:val="auto"/>
                <w:kern w:val="0"/>
                <w:szCs w:val="21"/>
              </w:rPr>
              <w:t>——</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943AA">
            <w:pPr>
              <w:widowControl/>
              <w:jc w:val="center"/>
              <w:textAlignment w:val="center"/>
              <w:rPr>
                <w:color w:val="auto"/>
                <w:szCs w:val="21"/>
              </w:rPr>
            </w:pPr>
            <w:r>
              <w:rPr>
                <w:color w:val="auto"/>
                <w:kern w:val="0"/>
                <w:szCs w:val="21"/>
              </w:rPr>
              <w:t>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DA65">
            <w:pPr>
              <w:widowControl/>
              <w:jc w:val="center"/>
              <w:textAlignment w:val="center"/>
              <w:rPr>
                <w:rFonts w:ascii="Arial" w:hAnsi="Arial" w:cs="Arial"/>
                <w:color w:val="auto"/>
                <w:szCs w:val="21"/>
              </w:rPr>
            </w:pPr>
            <w:r>
              <w:rPr>
                <w:rFonts w:ascii="Arial" w:hAnsi="Arial" w:cs="Arial"/>
                <w:color w:val="auto"/>
                <w:kern w:val="0"/>
                <w:szCs w:val="21"/>
              </w:rPr>
              <w:t>——</w:t>
            </w:r>
          </w:p>
        </w:tc>
      </w:tr>
      <w:tr w14:paraId="3C5D8970">
        <w:tblPrEx>
          <w:tblCellMar>
            <w:top w:w="0" w:type="dxa"/>
            <w:left w:w="28" w:type="dxa"/>
            <w:bottom w:w="0" w:type="dxa"/>
            <w:right w:w="28" w:type="dxa"/>
          </w:tblCellMar>
        </w:tblPrEx>
        <w:trPr>
          <w:trHeight w:val="814" w:hRule="atLeast"/>
          <w:jc w:val="center"/>
        </w:trPr>
        <w:tc>
          <w:tcPr>
            <w:tcW w:w="8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3E095">
            <w:pPr>
              <w:widowControl/>
              <w:jc w:val="center"/>
              <w:textAlignment w:val="center"/>
              <w:rPr>
                <w:rFonts w:ascii="宋体" w:hAnsi="宋体" w:cs="宋体"/>
                <w:color w:val="auto"/>
                <w:szCs w:val="21"/>
              </w:rPr>
            </w:pPr>
            <w:r>
              <w:rPr>
                <w:rFonts w:hint="eastAsia" w:ascii="宋体" w:hAnsi="宋体" w:cs="宋体"/>
                <w:color w:val="auto"/>
                <w:kern w:val="0"/>
                <w:szCs w:val="21"/>
              </w:rPr>
              <w:t>年度总体目标</w:t>
            </w:r>
          </w:p>
        </w:tc>
        <w:tc>
          <w:tcPr>
            <w:tcW w:w="42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BA1DB1">
            <w:pPr>
              <w:widowControl/>
              <w:jc w:val="center"/>
              <w:textAlignment w:val="center"/>
              <w:rPr>
                <w:rFonts w:ascii="宋体" w:hAnsi="宋体" w:cs="宋体"/>
                <w:color w:val="auto"/>
                <w:szCs w:val="21"/>
              </w:rPr>
            </w:pPr>
            <w:r>
              <w:rPr>
                <w:rFonts w:hint="eastAsia" w:ascii="宋体" w:hAnsi="宋体" w:cs="宋体"/>
                <w:color w:val="auto"/>
                <w:kern w:val="0"/>
                <w:szCs w:val="21"/>
              </w:rPr>
              <w:t>预期目标</w:t>
            </w:r>
          </w:p>
        </w:tc>
        <w:tc>
          <w:tcPr>
            <w:tcW w:w="452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FE6D8F">
            <w:pPr>
              <w:widowControl/>
              <w:jc w:val="center"/>
              <w:textAlignment w:val="center"/>
              <w:rPr>
                <w:rFonts w:ascii="宋体" w:hAnsi="宋体" w:cs="宋体"/>
                <w:color w:val="auto"/>
                <w:szCs w:val="21"/>
              </w:rPr>
            </w:pPr>
            <w:r>
              <w:rPr>
                <w:rFonts w:hint="eastAsia" w:ascii="宋体" w:hAnsi="宋体" w:cs="宋体"/>
                <w:color w:val="auto"/>
                <w:kern w:val="0"/>
                <w:szCs w:val="21"/>
              </w:rPr>
              <w:t>实际完成情况</w:t>
            </w:r>
          </w:p>
        </w:tc>
      </w:tr>
      <w:tr w14:paraId="0028C1C6">
        <w:tblPrEx>
          <w:tblCellMar>
            <w:top w:w="0" w:type="dxa"/>
            <w:left w:w="28" w:type="dxa"/>
            <w:bottom w:w="0" w:type="dxa"/>
            <w:right w:w="28" w:type="dxa"/>
          </w:tblCellMar>
        </w:tblPrEx>
        <w:trPr>
          <w:trHeight w:val="5300" w:hRule="atLeast"/>
          <w:jc w:val="center"/>
        </w:trPr>
        <w:tc>
          <w:tcPr>
            <w:tcW w:w="8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84EBC">
            <w:pPr>
              <w:jc w:val="center"/>
              <w:rPr>
                <w:rFonts w:ascii="宋体" w:hAnsi="宋体" w:cs="宋体"/>
                <w:color w:val="auto"/>
                <w:szCs w:val="21"/>
              </w:rPr>
            </w:pPr>
          </w:p>
        </w:tc>
        <w:tc>
          <w:tcPr>
            <w:tcW w:w="42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158209">
            <w:pPr>
              <w:widowControl/>
              <w:textAlignment w:val="center"/>
              <w:rPr>
                <w:rFonts w:ascii="宋体" w:hAnsi="宋体" w:cs="宋体"/>
                <w:color w:val="auto"/>
                <w:szCs w:val="21"/>
              </w:rPr>
            </w:pPr>
            <w:r>
              <w:rPr>
                <w:rFonts w:hint="eastAsia" w:ascii="宋体" w:hAnsi="宋体" w:cs="宋体"/>
                <w:color w:val="auto"/>
                <w:kern w:val="0"/>
                <w:szCs w:val="21"/>
              </w:rPr>
              <w:t>针对全区检察人员在思想、能力、作风方面结合岗位特点和素质能力进行培训，突出实训和综合素能培训；针对主责主业加强培训，突出政治理论教育和党性教育，增强参训人员思想素质和业务能力素质。</w:t>
            </w:r>
          </w:p>
        </w:tc>
        <w:tc>
          <w:tcPr>
            <w:tcW w:w="452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776A6C">
            <w:pPr>
              <w:widowControl/>
              <w:textAlignment w:val="center"/>
              <w:rPr>
                <w:rFonts w:ascii="宋体" w:hAnsi="宋体" w:cs="宋体"/>
                <w:color w:val="auto"/>
                <w:szCs w:val="21"/>
              </w:rPr>
            </w:pPr>
            <w:r>
              <w:rPr>
                <w:color w:val="auto"/>
                <w:kern w:val="0"/>
                <w:szCs w:val="21"/>
              </w:rPr>
              <w:t>2025</w:t>
            </w:r>
            <w:r>
              <w:rPr>
                <w:rFonts w:hint="eastAsia" w:ascii="宋体" w:hAnsi="宋体" w:cs="宋体"/>
                <w:color w:val="auto"/>
                <w:kern w:val="0"/>
                <w:szCs w:val="21"/>
              </w:rPr>
              <w:t>年度，检察官培训费项目全面贯彻落实年度培训计划，高标准、高质量地完成了各项预期目标。项目资金执行率为</w:t>
            </w:r>
            <w:r>
              <w:rPr>
                <w:color w:val="auto"/>
                <w:kern w:val="0"/>
                <w:szCs w:val="21"/>
              </w:rPr>
              <w:t>100</w:t>
            </w:r>
            <w:r>
              <w:rPr>
                <w:rFonts w:hint="eastAsia" w:ascii="宋体" w:hAnsi="宋体" w:cs="宋体"/>
                <w:color w:val="auto"/>
                <w:kern w:val="0"/>
                <w:szCs w:val="21"/>
              </w:rPr>
              <w:t>%，全年预算</w:t>
            </w:r>
            <w:r>
              <w:rPr>
                <w:color w:val="auto"/>
                <w:kern w:val="0"/>
                <w:szCs w:val="21"/>
              </w:rPr>
              <w:t>252</w:t>
            </w:r>
            <w:r>
              <w:rPr>
                <w:rFonts w:hint="eastAsia" w:ascii="宋体" w:hAnsi="宋体" w:cs="宋体"/>
                <w:color w:val="auto"/>
                <w:kern w:val="0"/>
                <w:szCs w:val="21"/>
              </w:rPr>
              <w:t>万元全部执行到位，实现了精细化、规范化管理。在产出方面，全年共举办培训班次</w:t>
            </w:r>
            <w:r>
              <w:rPr>
                <w:color w:val="auto"/>
                <w:kern w:val="0"/>
                <w:szCs w:val="21"/>
              </w:rPr>
              <w:t>51</w:t>
            </w:r>
            <w:r>
              <w:rPr>
                <w:rFonts w:hint="eastAsia" w:ascii="宋体" w:hAnsi="宋体" w:cs="宋体"/>
                <w:color w:val="auto"/>
                <w:kern w:val="0"/>
                <w:szCs w:val="21"/>
              </w:rPr>
              <w:t>次、开发培训课程</w:t>
            </w:r>
            <w:r>
              <w:rPr>
                <w:color w:val="auto"/>
                <w:kern w:val="0"/>
                <w:szCs w:val="21"/>
              </w:rPr>
              <w:t>51</w:t>
            </w:r>
            <w:r>
              <w:rPr>
                <w:rFonts w:hint="eastAsia" w:ascii="宋体" w:hAnsi="宋体" w:cs="宋体"/>
                <w:color w:val="auto"/>
                <w:kern w:val="0"/>
                <w:szCs w:val="21"/>
              </w:rPr>
              <w:t>个，远超年度指标；培训人次达</w:t>
            </w:r>
            <w:r>
              <w:rPr>
                <w:color w:val="auto"/>
                <w:kern w:val="0"/>
                <w:szCs w:val="21"/>
              </w:rPr>
              <w:t>500</w:t>
            </w:r>
            <w:r>
              <w:rPr>
                <w:rFonts w:hint="eastAsia" w:ascii="宋体" w:hAnsi="宋体" w:cs="宋体"/>
                <w:color w:val="auto"/>
                <w:kern w:val="0"/>
                <w:szCs w:val="21"/>
              </w:rPr>
              <w:t>人、培训天数满</w:t>
            </w:r>
            <w:r>
              <w:rPr>
                <w:color w:val="auto"/>
                <w:kern w:val="0"/>
                <w:szCs w:val="21"/>
              </w:rPr>
              <w:t>50</w:t>
            </w:r>
            <w:r>
              <w:rPr>
                <w:rFonts w:hint="eastAsia" w:ascii="宋体" w:hAnsi="宋体" w:cs="宋体"/>
                <w:color w:val="auto"/>
                <w:kern w:val="0"/>
                <w:szCs w:val="21"/>
              </w:rPr>
              <w:t>天，均圆满完成计划；培训合格率、签到到位率及计划开办率均达</w:t>
            </w:r>
            <w:r>
              <w:rPr>
                <w:color w:val="auto"/>
                <w:kern w:val="0"/>
                <w:szCs w:val="21"/>
              </w:rPr>
              <w:t>95</w:t>
            </w:r>
            <w:r>
              <w:rPr>
                <w:rFonts w:hint="eastAsia" w:ascii="宋体" w:hAnsi="宋体" w:cs="宋体"/>
                <w:color w:val="auto"/>
                <w:kern w:val="0"/>
                <w:szCs w:val="21"/>
              </w:rPr>
              <w:t>%以上，培训按期于</w:t>
            </w:r>
            <w:r>
              <w:rPr>
                <w:color w:val="auto"/>
                <w:kern w:val="0"/>
                <w:szCs w:val="21"/>
              </w:rPr>
              <w:t>11</w:t>
            </w:r>
            <w:r>
              <w:rPr>
                <w:rFonts w:hint="eastAsia" w:ascii="宋体" w:hAnsi="宋体" w:cs="宋体"/>
                <w:color w:val="auto"/>
                <w:kern w:val="0"/>
                <w:szCs w:val="21"/>
              </w:rPr>
              <w:t>月份前全部完成。成本方面，人均培训成本和总成本均有效控制在预算范围内。参训人员对培训内容理解精准，综合素能得到显著提升，业务培训可持续性得到有效保障，培训满意度达</w:t>
            </w:r>
            <w:r>
              <w:rPr>
                <w:color w:val="auto"/>
                <w:kern w:val="0"/>
                <w:szCs w:val="21"/>
              </w:rPr>
              <w:t>96</w:t>
            </w:r>
            <w:r>
              <w:rPr>
                <w:rFonts w:hint="eastAsia" w:ascii="宋体" w:hAnsi="宋体" w:cs="宋体"/>
                <w:color w:val="auto"/>
                <w:kern w:val="0"/>
                <w:szCs w:val="21"/>
              </w:rPr>
              <w:t>%。本项目全面达成年度绩效目标，为提升检察人员政治素质、业务能力和履职水平提供了坚实保障。</w:t>
            </w:r>
          </w:p>
        </w:tc>
      </w:tr>
      <w:tr w14:paraId="6CD0AA1F">
        <w:tblPrEx>
          <w:tblCellMar>
            <w:top w:w="0" w:type="dxa"/>
            <w:left w:w="28" w:type="dxa"/>
            <w:bottom w:w="0" w:type="dxa"/>
            <w:right w:w="28" w:type="dxa"/>
          </w:tblCellMar>
        </w:tblPrEx>
        <w:trPr>
          <w:trHeight w:val="380" w:hRule="atLeast"/>
          <w:jc w:val="center"/>
        </w:trPr>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463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31C66">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一级指标</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82994">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二级</w:t>
            </w:r>
          </w:p>
          <w:p w14:paraId="129D2572">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36C06">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三级</w:t>
            </w:r>
          </w:p>
          <w:p w14:paraId="75D0F894">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185B2">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指标性质</w:t>
            </w:r>
          </w:p>
        </w:tc>
        <w:tc>
          <w:tcPr>
            <w:tcW w:w="9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EB31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指标方向</w:t>
            </w:r>
          </w:p>
        </w:tc>
        <w:tc>
          <w:tcPr>
            <w:tcW w:w="11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F04B1">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年度指标值</w:t>
            </w:r>
          </w:p>
        </w:tc>
        <w:tc>
          <w:tcPr>
            <w:tcW w:w="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B268A">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实际</w:t>
            </w:r>
          </w:p>
          <w:p w14:paraId="396EBAFA">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完成值</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3048">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计量</w:t>
            </w:r>
          </w:p>
          <w:p w14:paraId="540A4D8E">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单位</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A81AC">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3A434">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得分</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36D357">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偏差原因分析</w:t>
            </w:r>
          </w:p>
          <w:p w14:paraId="23DF788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及改进措施</w:t>
            </w:r>
          </w:p>
        </w:tc>
      </w:tr>
      <w:tr w14:paraId="33E254B1">
        <w:tblPrEx>
          <w:tblCellMar>
            <w:top w:w="0" w:type="dxa"/>
            <w:left w:w="28" w:type="dxa"/>
            <w:bottom w:w="0" w:type="dxa"/>
            <w:right w:w="28" w:type="dxa"/>
          </w:tblCellMar>
        </w:tblPrEx>
        <w:trPr>
          <w:trHeight w:val="661" w:hRule="atLeast"/>
          <w:jc w:val="center"/>
        </w:trPr>
        <w:tc>
          <w:tcPr>
            <w:tcW w:w="389" w:type="dxa"/>
            <w:vMerge w:val="restart"/>
            <w:tcBorders>
              <w:top w:val="single" w:color="000000" w:sz="4" w:space="0"/>
              <w:left w:val="single" w:color="000000" w:sz="4" w:space="0"/>
              <w:bottom w:val="nil"/>
              <w:right w:val="single" w:color="000000" w:sz="4" w:space="0"/>
            </w:tcBorders>
            <w:shd w:val="clear" w:color="auto" w:fill="auto"/>
            <w:vAlign w:val="center"/>
          </w:tcPr>
          <w:p w14:paraId="57FFE99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498"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952673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产出指标</w:t>
            </w: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562C30EF">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数量</w:t>
            </w:r>
          </w:p>
          <w:p w14:paraId="781D4EB1">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08224939">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1E3DF8D1">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班次</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60B69E9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1E48CE0F">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30E9A91">
            <w:pPr>
              <w:widowControl/>
              <w:spacing w:line="240" w:lineRule="exact"/>
              <w:jc w:val="center"/>
              <w:textAlignment w:val="center"/>
              <w:rPr>
                <w:rFonts w:ascii="宋体" w:hAnsi="宋体" w:cs="宋体"/>
                <w:color w:val="auto"/>
                <w:szCs w:val="21"/>
              </w:rPr>
            </w:pPr>
            <w:r>
              <w:rPr>
                <w:color w:val="auto"/>
                <w:kern w:val="0"/>
                <w:szCs w:val="21"/>
              </w:rPr>
              <w:t>15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75D69312">
            <w:pPr>
              <w:widowControl/>
              <w:spacing w:line="240" w:lineRule="exact"/>
              <w:jc w:val="center"/>
              <w:textAlignment w:val="center"/>
              <w:rPr>
                <w:rFonts w:ascii="宋体" w:hAnsi="宋体" w:cs="宋体"/>
                <w:color w:val="auto"/>
                <w:szCs w:val="21"/>
              </w:rPr>
            </w:pPr>
            <w:r>
              <w:rPr>
                <w:color w:val="auto"/>
                <w:kern w:val="0"/>
                <w:szCs w:val="21"/>
              </w:rPr>
              <w:t>51</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53E6F40C">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次</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1631E67">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67D4EA61">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2CD1C6EE">
            <w:pPr>
              <w:widowControl/>
              <w:spacing w:line="240" w:lineRule="exact"/>
              <w:jc w:val="center"/>
              <w:textAlignment w:val="center"/>
              <w:rPr>
                <w:rFonts w:ascii="宋体" w:hAnsi="宋体" w:cs="宋体"/>
                <w:color w:val="auto"/>
                <w:szCs w:val="21"/>
              </w:rPr>
            </w:pPr>
          </w:p>
        </w:tc>
      </w:tr>
      <w:tr w14:paraId="6E7E7733">
        <w:tblPrEx>
          <w:tblCellMar>
            <w:top w:w="0" w:type="dxa"/>
            <w:left w:w="28" w:type="dxa"/>
            <w:bottom w:w="0" w:type="dxa"/>
            <w:right w:w="28" w:type="dxa"/>
          </w:tblCellMar>
        </w:tblPrEx>
        <w:trPr>
          <w:trHeight w:val="716"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0FBCBFFA">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AD3178E">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587C724">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6E6B3EB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培训课程数量</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3BC2A90F">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6B48AAC2">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5A470EC0">
            <w:pPr>
              <w:widowControl/>
              <w:spacing w:line="240" w:lineRule="exact"/>
              <w:jc w:val="center"/>
              <w:textAlignment w:val="center"/>
              <w:rPr>
                <w:rFonts w:ascii="宋体" w:hAnsi="宋体" w:cs="宋体"/>
                <w:color w:val="auto"/>
                <w:szCs w:val="21"/>
              </w:rPr>
            </w:pPr>
            <w:r>
              <w:rPr>
                <w:color w:val="auto"/>
                <w:kern w:val="0"/>
                <w:szCs w:val="21"/>
              </w:rPr>
              <w:t>15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21D0AE9">
            <w:pPr>
              <w:widowControl/>
              <w:spacing w:line="240" w:lineRule="exact"/>
              <w:jc w:val="center"/>
              <w:textAlignment w:val="center"/>
              <w:rPr>
                <w:rFonts w:ascii="宋体" w:hAnsi="宋体" w:cs="宋体"/>
                <w:color w:val="auto"/>
                <w:szCs w:val="21"/>
              </w:rPr>
            </w:pPr>
            <w:r>
              <w:rPr>
                <w:color w:val="auto"/>
                <w:kern w:val="0"/>
                <w:szCs w:val="21"/>
              </w:rPr>
              <w:t>51</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3EDB92E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个</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562ED3B">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D9656AF">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22CE5416">
            <w:pPr>
              <w:widowControl/>
              <w:spacing w:line="240" w:lineRule="exact"/>
              <w:jc w:val="center"/>
              <w:textAlignment w:val="center"/>
              <w:rPr>
                <w:rFonts w:ascii="宋体" w:hAnsi="宋体" w:cs="宋体"/>
                <w:color w:val="auto"/>
                <w:szCs w:val="21"/>
              </w:rPr>
            </w:pPr>
          </w:p>
        </w:tc>
      </w:tr>
      <w:tr w14:paraId="6C104D8B">
        <w:tblPrEx>
          <w:tblCellMar>
            <w:top w:w="0" w:type="dxa"/>
            <w:left w:w="28" w:type="dxa"/>
            <w:bottom w:w="0" w:type="dxa"/>
            <w:right w:w="28" w:type="dxa"/>
          </w:tblCellMar>
        </w:tblPrEx>
        <w:trPr>
          <w:trHeight w:val="605"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582E408B">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7D7171C">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CE5AD2">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4FF35C9A">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6D1BE76E">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人次</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513ACE8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784C1D54">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1B3F7940">
            <w:pPr>
              <w:widowControl/>
              <w:spacing w:line="240" w:lineRule="exact"/>
              <w:jc w:val="center"/>
              <w:textAlignment w:val="center"/>
              <w:rPr>
                <w:rFonts w:ascii="宋体" w:hAnsi="宋体" w:cs="宋体"/>
                <w:color w:val="auto"/>
                <w:szCs w:val="21"/>
              </w:rPr>
            </w:pPr>
            <w:r>
              <w:rPr>
                <w:color w:val="auto"/>
                <w:kern w:val="0"/>
                <w:szCs w:val="21"/>
              </w:rPr>
              <w:t>500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1DCB5635">
            <w:pPr>
              <w:widowControl/>
              <w:spacing w:line="240" w:lineRule="exact"/>
              <w:jc w:val="center"/>
              <w:textAlignment w:val="center"/>
              <w:rPr>
                <w:rFonts w:ascii="宋体" w:hAnsi="宋体" w:cs="宋体"/>
                <w:color w:val="auto"/>
                <w:szCs w:val="21"/>
              </w:rPr>
            </w:pPr>
            <w:r>
              <w:rPr>
                <w:color w:val="auto"/>
                <w:kern w:val="0"/>
                <w:szCs w:val="21"/>
              </w:rPr>
              <w:t>500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6CDCD10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人次</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B577809">
            <w:pPr>
              <w:widowControl/>
              <w:spacing w:line="240" w:lineRule="exact"/>
              <w:jc w:val="center"/>
              <w:textAlignment w:val="center"/>
              <w:rPr>
                <w:color w:val="auto"/>
                <w:szCs w:val="21"/>
              </w:rPr>
            </w:pPr>
            <w:r>
              <w:rPr>
                <w:color w:val="auto"/>
                <w:kern w:val="0"/>
                <w:szCs w:val="21"/>
              </w:rPr>
              <w:t>3</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1C207C5">
            <w:pPr>
              <w:widowControl/>
              <w:spacing w:line="240" w:lineRule="exact"/>
              <w:jc w:val="center"/>
              <w:textAlignment w:val="center"/>
              <w:rPr>
                <w:color w:val="auto"/>
                <w:szCs w:val="21"/>
              </w:rPr>
            </w:pPr>
            <w:r>
              <w:rPr>
                <w:color w:val="auto"/>
                <w:kern w:val="0"/>
                <w:szCs w:val="21"/>
              </w:rPr>
              <w:t>3</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2ED0A419">
            <w:pPr>
              <w:spacing w:line="240" w:lineRule="exact"/>
              <w:jc w:val="center"/>
              <w:rPr>
                <w:rFonts w:ascii="宋体" w:hAnsi="宋体" w:cs="宋体"/>
                <w:color w:val="auto"/>
                <w:szCs w:val="21"/>
              </w:rPr>
            </w:pPr>
          </w:p>
        </w:tc>
      </w:tr>
      <w:tr w14:paraId="02494925">
        <w:tblPrEx>
          <w:tblCellMar>
            <w:top w:w="0" w:type="dxa"/>
            <w:left w:w="28" w:type="dxa"/>
            <w:bottom w:w="0" w:type="dxa"/>
            <w:right w:w="28" w:type="dxa"/>
          </w:tblCellMar>
        </w:tblPrEx>
        <w:trPr>
          <w:trHeight w:val="702"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1568B224">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567F7A7">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11BCB65">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25DE59FB">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3AC0B28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天数</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525802E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4E2813DD">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01C0E8A0">
            <w:pPr>
              <w:widowControl/>
              <w:spacing w:line="240" w:lineRule="exact"/>
              <w:jc w:val="center"/>
              <w:textAlignment w:val="center"/>
              <w:rPr>
                <w:rFonts w:ascii="宋体" w:hAnsi="宋体" w:cs="宋体"/>
                <w:color w:val="auto"/>
                <w:szCs w:val="21"/>
              </w:rPr>
            </w:pPr>
            <w:r>
              <w:rPr>
                <w:color w:val="auto"/>
                <w:kern w:val="0"/>
                <w:szCs w:val="21"/>
              </w:rPr>
              <w:t>50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192DD401">
            <w:pPr>
              <w:widowControl/>
              <w:spacing w:line="240" w:lineRule="exact"/>
              <w:jc w:val="center"/>
              <w:textAlignment w:val="center"/>
              <w:rPr>
                <w:rFonts w:ascii="宋体" w:hAnsi="宋体" w:cs="宋体"/>
                <w:color w:val="auto"/>
                <w:szCs w:val="21"/>
              </w:rPr>
            </w:pPr>
            <w:r>
              <w:rPr>
                <w:color w:val="auto"/>
                <w:kern w:val="0"/>
                <w:szCs w:val="21"/>
              </w:rPr>
              <w:t>50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4568243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天</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7AAF6C8">
            <w:pPr>
              <w:widowControl/>
              <w:spacing w:line="240" w:lineRule="exact"/>
              <w:jc w:val="center"/>
              <w:textAlignment w:val="center"/>
              <w:rPr>
                <w:color w:val="auto"/>
                <w:szCs w:val="21"/>
              </w:rPr>
            </w:pPr>
            <w:r>
              <w:rPr>
                <w:color w:val="auto"/>
                <w:kern w:val="0"/>
                <w:szCs w:val="21"/>
              </w:rPr>
              <w:t>2</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96AD04D">
            <w:pPr>
              <w:widowControl/>
              <w:spacing w:line="240" w:lineRule="exact"/>
              <w:jc w:val="center"/>
              <w:textAlignment w:val="center"/>
              <w:rPr>
                <w:color w:val="auto"/>
                <w:szCs w:val="21"/>
              </w:rPr>
            </w:pPr>
            <w:r>
              <w:rPr>
                <w:color w:val="auto"/>
                <w:kern w:val="0"/>
                <w:szCs w:val="21"/>
              </w:rPr>
              <w:t>2</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4E5F5D1F">
            <w:pPr>
              <w:spacing w:line="240" w:lineRule="exact"/>
              <w:jc w:val="center"/>
              <w:rPr>
                <w:rFonts w:ascii="宋体" w:hAnsi="宋体" w:cs="宋体"/>
                <w:color w:val="auto"/>
                <w:szCs w:val="21"/>
              </w:rPr>
            </w:pPr>
          </w:p>
        </w:tc>
      </w:tr>
      <w:tr w14:paraId="49853BE2">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16CB10B7">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392106">
            <w:pPr>
              <w:spacing w:line="240" w:lineRule="exact"/>
              <w:jc w:val="center"/>
              <w:rPr>
                <w:rFonts w:ascii="宋体" w:hAnsi="宋体" w:cs="宋体"/>
                <w:color w:val="auto"/>
                <w:szCs w:val="21"/>
              </w:rPr>
            </w:pP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2A8882BA">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质量</w:t>
            </w:r>
          </w:p>
          <w:p w14:paraId="3A0B8A9E">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28D1716F">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12E676E4">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人员</w:t>
            </w:r>
          </w:p>
          <w:p w14:paraId="59AE32AF">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合格率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7F3602A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78C1141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4E5A833">
            <w:pPr>
              <w:widowControl/>
              <w:spacing w:line="240" w:lineRule="exact"/>
              <w:jc w:val="center"/>
              <w:textAlignment w:val="center"/>
              <w:rPr>
                <w:rFonts w:ascii="宋体" w:hAnsi="宋体" w:cs="宋体"/>
                <w:color w:val="auto"/>
                <w:szCs w:val="21"/>
              </w:rPr>
            </w:pPr>
            <w:r>
              <w:rPr>
                <w:color w:val="auto"/>
                <w:kern w:val="0"/>
                <w:szCs w:val="21"/>
              </w:rPr>
              <w:t>95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497FB29">
            <w:pPr>
              <w:widowControl/>
              <w:spacing w:line="240" w:lineRule="exact"/>
              <w:jc w:val="center"/>
              <w:textAlignment w:val="center"/>
              <w:rPr>
                <w:rFonts w:ascii="宋体" w:hAnsi="宋体" w:cs="宋体"/>
                <w:color w:val="auto"/>
                <w:szCs w:val="21"/>
              </w:rPr>
            </w:pPr>
            <w:r>
              <w:rPr>
                <w:color w:val="auto"/>
                <w:kern w:val="0"/>
                <w:szCs w:val="21"/>
              </w:rPr>
              <w:t>95</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10FF34E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110C3B6">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4BAD9C1">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63A9C99A">
            <w:pPr>
              <w:spacing w:line="240" w:lineRule="exact"/>
              <w:jc w:val="center"/>
              <w:rPr>
                <w:rFonts w:ascii="宋体" w:hAnsi="宋体" w:cs="宋体"/>
                <w:color w:val="auto"/>
                <w:szCs w:val="21"/>
              </w:rPr>
            </w:pPr>
          </w:p>
        </w:tc>
      </w:tr>
      <w:tr w14:paraId="107DD766">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723A8A07">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627DE1F">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E447F3">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05291D18">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39457D75">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签到</w:t>
            </w:r>
          </w:p>
          <w:p w14:paraId="1B940422">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到位率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418EA37B">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1F28B2F1">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04C2EB78">
            <w:pPr>
              <w:widowControl/>
              <w:spacing w:line="240" w:lineRule="exact"/>
              <w:jc w:val="center"/>
              <w:textAlignment w:val="center"/>
              <w:rPr>
                <w:rFonts w:ascii="宋体" w:hAnsi="宋体" w:cs="宋体"/>
                <w:color w:val="auto"/>
                <w:szCs w:val="21"/>
              </w:rPr>
            </w:pPr>
            <w:r>
              <w:rPr>
                <w:color w:val="auto"/>
                <w:kern w:val="0"/>
                <w:szCs w:val="21"/>
              </w:rPr>
              <w:t>98</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69F567F0">
            <w:pPr>
              <w:widowControl/>
              <w:spacing w:line="240" w:lineRule="exact"/>
              <w:jc w:val="center"/>
              <w:textAlignment w:val="center"/>
              <w:rPr>
                <w:rFonts w:ascii="宋体" w:hAnsi="宋体" w:cs="宋体"/>
                <w:color w:val="auto"/>
                <w:szCs w:val="21"/>
              </w:rPr>
            </w:pPr>
            <w:r>
              <w:rPr>
                <w:color w:val="auto"/>
                <w:kern w:val="0"/>
                <w:szCs w:val="21"/>
              </w:rPr>
              <w:t>98</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261FD8D3">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3CC7A72B">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23BFAF5">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2AE0BDB1">
            <w:pPr>
              <w:spacing w:line="240" w:lineRule="exact"/>
              <w:jc w:val="center"/>
              <w:rPr>
                <w:rFonts w:ascii="宋体" w:hAnsi="宋体" w:cs="宋体"/>
                <w:color w:val="auto"/>
                <w:szCs w:val="21"/>
              </w:rPr>
            </w:pPr>
          </w:p>
        </w:tc>
      </w:tr>
      <w:tr w14:paraId="28FBF954">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612E87D8">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522AEBA">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2473F60">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688E218D">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按年初计划开办培训班次率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48BF06E3">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5121B224">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058E4B90">
            <w:pPr>
              <w:widowControl/>
              <w:spacing w:line="240" w:lineRule="exact"/>
              <w:jc w:val="center"/>
              <w:textAlignment w:val="center"/>
              <w:rPr>
                <w:rFonts w:ascii="宋体" w:hAnsi="宋体" w:cs="宋体"/>
                <w:color w:val="auto"/>
                <w:szCs w:val="21"/>
              </w:rPr>
            </w:pPr>
            <w:r>
              <w:rPr>
                <w:color w:val="auto"/>
                <w:kern w:val="0"/>
                <w:szCs w:val="21"/>
              </w:rPr>
              <w:t>95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A155AEE">
            <w:pPr>
              <w:widowControl/>
              <w:spacing w:line="240" w:lineRule="exact"/>
              <w:jc w:val="center"/>
              <w:textAlignment w:val="center"/>
              <w:rPr>
                <w:rFonts w:ascii="宋体" w:hAnsi="宋体" w:cs="宋体"/>
                <w:color w:val="auto"/>
                <w:szCs w:val="21"/>
              </w:rPr>
            </w:pPr>
            <w:r>
              <w:rPr>
                <w:color w:val="auto"/>
                <w:kern w:val="0"/>
                <w:szCs w:val="21"/>
              </w:rPr>
              <w:t>95</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1BE2A42C">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6A769E5">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7D9463D9">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67C57557">
            <w:pPr>
              <w:spacing w:line="240" w:lineRule="exact"/>
              <w:jc w:val="center"/>
              <w:rPr>
                <w:rFonts w:ascii="宋体" w:hAnsi="宋体" w:cs="宋体"/>
                <w:color w:val="auto"/>
                <w:szCs w:val="21"/>
              </w:rPr>
            </w:pPr>
          </w:p>
        </w:tc>
      </w:tr>
      <w:tr w14:paraId="69BED3BF">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29BC52FA">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EF755F3">
            <w:pPr>
              <w:spacing w:line="240" w:lineRule="exact"/>
              <w:jc w:val="center"/>
              <w:rPr>
                <w:rFonts w:ascii="宋体" w:hAnsi="宋体" w:cs="宋体"/>
                <w:color w:val="auto"/>
                <w:szCs w:val="21"/>
              </w:rPr>
            </w:pP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70514EE">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时效</w:t>
            </w:r>
          </w:p>
          <w:p w14:paraId="1E6CD23B">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14936AA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培训计划按期完成率</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19309638">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4133FCC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3760C364">
            <w:pPr>
              <w:widowControl/>
              <w:spacing w:line="240" w:lineRule="exact"/>
              <w:jc w:val="center"/>
              <w:textAlignment w:val="center"/>
              <w:rPr>
                <w:rFonts w:ascii="宋体" w:hAnsi="宋体" w:cs="宋体"/>
                <w:color w:val="auto"/>
                <w:szCs w:val="21"/>
              </w:rPr>
            </w:pPr>
            <w:r>
              <w:rPr>
                <w:color w:val="auto"/>
                <w:kern w:val="0"/>
                <w:szCs w:val="21"/>
              </w:rPr>
              <w:t>100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47002643">
            <w:pPr>
              <w:widowControl/>
              <w:spacing w:line="240" w:lineRule="exact"/>
              <w:jc w:val="center"/>
              <w:textAlignment w:val="center"/>
              <w:rPr>
                <w:rFonts w:ascii="宋体" w:hAnsi="宋体" w:cs="宋体"/>
                <w:color w:val="auto"/>
                <w:szCs w:val="21"/>
              </w:rPr>
            </w:pPr>
            <w:r>
              <w:rPr>
                <w:color w:val="auto"/>
                <w:kern w:val="0"/>
                <w:szCs w:val="21"/>
              </w:rPr>
              <w:t>100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5BCBC84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4F66357E">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D4E9D4C">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7D486B67">
            <w:pPr>
              <w:spacing w:line="240" w:lineRule="exact"/>
              <w:jc w:val="center"/>
              <w:rPr>
                <w:rFonts w:ascii="宋体" w:hAnsi="宋体" w:cs="宋体"/>
                <w:color w:val="auto"/>
                <w:szCs w:val="21"/>
              </w:rPr>
            </w:pPr>
          </w:p>
        </w:tc>
      </w:tr>
      <w:tr w14:paraId="69E38E55">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7A648044">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B6E4B06">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813AB4">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24EFBDF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培训按时完成时间</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3E56391E">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08A18CCA">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303F4C9B">
            <w:pPr>
              <w:widowControl/>
              <w:spacing w:line="240" w:lineRule="exact"/>
              <w:jc w:val="center"/>
              <w:textAlignment w:val="center"/>
              <w:rPr>
                <w:rFonts w:ascii="宋体" w:hAnsi="宋体" w:cs="宋体"/>
                <w:color w:val="auto"/>
                <w:szCs w:val="21"/>
              </w:rPr>
            </w:pPr>
            <w:r>
              <w:rPr>
                <w:color w:val="auto"/>
                <w:kern w:val="0"/>
                <w:szCs w:val="21"/>
              </w:rPr>
              <w:t>11</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6C078728">
            <w:pPr>
              <w:widowControl/>
              <w:spacing w:line="240" w:lineRule="exact"/>
              <w:jc w:val="center"/>
              <w:textAlignment w:val="center"/>
              <w:rPr>
                <w:rFonts w:ascii="宋体" w:hAnsi="宋体" w:cs="宋体"/>
                <w:color w:val="auto"/>
                <w:szCs w:val="21"/>
              </w:rPr>
            </w:pPr>
            <w:r>
              <w:rPr>
                <w:color w:val="auto"/>
                <w:kern w:val="0"/>
                <w:szCs w:val="21"/>
              </w:rPr>
              <w:t>11</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6FD16424">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月份前</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98ADCA5">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119F3138">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36285A14">
            <w:pPr>
              <w:spacing w:line="240" w:lineRule="exact"/>
              <w:jc w:val="center"/>
              <w:rPr>
                <w:rFonts w:ascii="宋体" w:hAnsi="宋体" w:cs="宋体"/>
                <w:color w:val="auto"/>
                <w:szCs w:val="21"/>
              </w:rPr>
            </w:pPr>
          </w:p>
        </w:tc>
      </w:tr>
      <w:tr w14:paraId="12B54D51">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0E3D3C41">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D92A091">
            <w:pPr>
              <w:spacing w:line="240" w:lineRule="exact"/>
              <w:jc w:val="center"/>
              <w:rPr>
                <w:rFonts w:ascii="宋体" w:hAnsi="宋体" w:cs="宋体"/>
                <w:color w:val="auto"/>
                <w:szCs w:val="21"/>
              </w:rPr>
            </w:pPr>
          </w:p>
        </w:tc>
        <w:tc>
          <w:tcPr>
            <w:tcW w:w="70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1D5FE63">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成本</w:t>
            </w:r>
          </w:p>
          <w:p w14:paraId="1EC60231">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06145B8F">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人均</w:t>
            </w:r>
          </w:p>
          <w:p w14:paraId="53AA35DA">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645532AE">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成本</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4E73C294">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41073B9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A509243">
            <w:pPr>
              <w:widowControl/>
              <w:spacing w:line="240" w:lineRule="exact"/>
              <w:jc w:val="center"/>
              <w:textAlignment w:val="center"/>
              <w:rPr>
                <w:rFonts w:ascii="宋体" w:hAnsi="宋体" w:cs="宋体"/>
                <w:color w:val="auto"/>
                <w:szCs w:val="21"/>
              </w:rPr>
            </w:pPr>
            <w:r>
              <w:rPr>
                <w:color w:val="auto"/>
                <w:kern w:val="0"/>
                <w:szCs w:val="21"/>
              </w:rPr>
              <w:t>400</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3705D23E">
            <w:pPr>
              <w:widowControl/>
              <w:spacing w:line="240" w:lineRule="exact"/>
              <w:jc w:val="center"/>
              <w:textAlignment w:val="center"/>
              <w:rPr>
                <w:rFonts w:ascii="宋体" w:hAnsi="宋体" w:cs="宋体"/>
                <w:color w:val="auto"/>
                <w:szCs w:val="21"/>
              </w:rPr>
            </w:pPr>
            <w:r>
              <w:rPr>
                <w:color w:val="auto"/>
                <w:kern w:val="0"/>
                <w:szCs w:val="21"/>
              </w:rPr>
              <w:t>400</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01728D9C">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元</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14A76FA">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CBF6BCB">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649122BB">
            <w:pPr>
              <w:spacing w:line="240" w:lineRule="exact"/>
              <w:jc w:val="center"/>
              <w:rPr>
                <w:rFonts w:ascii="宋体" w:hAnsi="宋体" w:cs="宋体"/>
                <w:color w:val="auto"/>
                <w:szCs w:val="21"/>
              </w:rPr>
            </w:pPr>
          </w:p>
        </w:tc>
      </w:tr>
      <w:tr w14:paraId="14F10432">
        <w:tblPrEx>
          <w:tblCellMar>
            <w:top w:w="0" w:type="dxa"/>
            <w:left w:w="28" w:type="dxa"/>
            <w:bottom w:w="0" w:type="dxa"/>
            <w:right w:w="28" w:type="dxa"/>
          </w:tblCellMar>
        </w:tblPrEx>
        <w:trPr>
          <w:trHeight w:val="633"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72CF5D3A">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B9780FE">
            <w:pPr>
              <w:spacing w:line="240" w:lineRule="exact"/>
              <w:jc w:val="center"/>
              <w:rPr>
                <w:rFonts w:ascii="宋体" w:hAnsi="宋体" w:cs="宋体"/>
                <w:color w:val="auto"/>
                <w:szCs w:val="21"/>
              </w:rPr>
            </w:pPr>
          </w:p>
        </w:tc>
        <w:tc>
          <w:tcPr>
            <w:tcW w:w="70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7FD671F">
            <w:pPr>
              <w:spacing w:line="240" w:lineRule="exact"/>
              <w:jc w:val="center"/>
              <w:rPr>
                <w:rFonts w:ascii="宋体" w:hAnsi="宋体" w:cs="宋体"/>
                <w:color w:val="auto"/>
                <w:szCs w:val="21"/>
              </w:rPr>
            </w:pP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124581ED">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培训</w:t>
            </w:r>
          </w:p>
          <w:p w14:paraId="6AA6B6E3">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总成本</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4DB84F28">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0A923A3F">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315CDF28">
            <w:pPr>
              <w:widowControl/>
              <w:spacing w:line="240" w:lineRule="exact"/>
              <w:jc w:val="center"/>
              <w:textAlignment w:val="center"/>
              <w:rPr>
                <w:rFonts w:ascii="宋体" w:hAnsi="宋体" w:cs="宋体"/>
                <w:color w:val="auto"/>
                <w:szCs w:val="21"/>
              </w:rPr>
            </w:pPr>
            <w:r>
              <w:rPr>
                <w:color w:val="auto"/>
                <w:kern w:val="0"/>
                <w:szCs w:val="21"/>
              </w:rPr>
              <w:t>252</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4AB9863D">
            <w:pPr>
              <w:widowControl/>
              <w:spacing w:line="240" w:lineRule="exact"/>
              <w:jc w:val="center"/>
              <w:textAlignment w:val="center"/>
              <w:rPr>
                <w:rFonts w:ascii="宋体" w:hAnsi="宋体" w:cs="宋体"/>
                <w:color w:val="auto"/>
                <w:szCs w:val="21"/>
              </w:rPr>
            </w:pPr>
            <w:r>
              <w:rPr>
                <w:color w:val="auto"/>
                <w:kern w:val="0"/>
                <w:szCs w:val="21"/>
              </w:rPr>
              <w:t>252</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3C5AACB3">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5FF659BE">
            <w:pPr>
              <w:widowControl/>
              <w:spacing w:line="240" w:lineRule="exact"/>
              <w:jc w:val="center"/>
              <w:textAlignment w:val="center"/>
              <w:rPr>
                <w:color w:val="auto"/>
                <w:szCs w:val="21"/>
              </w:rPr>
            </w:pPr>
            <w:r>
              <w:rPr>
                <w:color w:val="auto"/>
                <w:kern w:val="0"/>
                <w:szCs w:val="21"/>
              </w:rPr>
              <w:t>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21D210F">
            <w:pPr>
              <w:widowControl/>
              <w:spacing w:line="240" w:lineRule="exact"/>
              <w:jc w:val="center"/>
              <w:textAlignment w:val="center"/>
              <w:rPr>
                <w:color w:val="auto"/>
                <w:szCs w:val="21"/>
              </w:rPr>
            </w:pPr>
            <w:r>
              <w:rPr>
                <w:color w:val="auto"/>
                <w:kern w:val="0"/>
                <w:szCs w:val="21"/>
              </w:rPr>
              <w:t>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3B2FB876">
            <w:pPr>
              <w:spacing w:line="240" w:lineRule="exact"/>
              <w:jc w:val="center"/>
              <w:rPr>
                <w:rFonts w:ascii="宋体" w:hAnsi="宋体" w:cs="宋体"/>
                <w:color w:val="auto"/>
                <w:szCs w:val="21"/>
              </w:rPr>
            </w:pPr>
          </w:p>
        </w:tc>
      </w:tr>
      <w:tr w14:paraId="338A896B">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120EA415">
            <w:pPr>
              <w:spacing w:line="240" w:lineRule="exact"/>
              <w:jc w:val="center"/>
              <w:rPr>
                <w:rFonts w:ascii="宋体" w:hAnsi="宋体" w:cs="宋体"/>
                <w:color w:val="auto"/>
                <w:szCs w:val="21"/>
              </w:rPr>
            </w:pPr>
          </w:p>
        </w:tc>
        <w:tc>
          <w:tcPr>
            <w:tcW w:w="498"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DFCABA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效益指标</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1708BF4B">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社会</w:t>
            </w:r>
          </w:p>
          <w:p w14:paraId="23E77380">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效益</w:t>
            </w:r>
          </w:p>
          <w:p w14:paraId="26D741DA">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3A9FBC0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参与培训人员能够精准理解培训内容</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3EBCAB2D">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定性</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3096FC14">
            <w:pPr>
              <w:spacing w:line="240" w:lineRule="exact"/>
              <w:jc w:val="center"/>
              <w:rPr>
                <w:rFonts w:ascii="宋体" w:hAnsi="宋体" w:cs="宋体"/>
                <w:color w:val="auto"/>
                <w:szCs w:val="21"/>
              </w:rPr>
            </w:pP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32B55ED">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优</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2D19B4A3">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优</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352ED752">
            <w:pPr>
              <w:spacing w:line="240" w:lineRule="exact"/>
              <w:jc w:val="center"/>
              <w:rPr>
                <w:rFonts w:ascii="宋体" w:hAnsi="宋体" w:cs="宋体"/>
                <w:color w:val="auto"/>
                <w:szCs w:val="21"/>
              </w:rPr>
            </w:pP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1909D53">
            <w:pPr>
              <w:widowControl/>
              <w:spacing w:line="240" w:lineRule="exact"/>
              <w:jc w:val="center"/>
              <w:textAlignment w:val="center"/>
              <w:rPr>
                <w:rFonts w:ascii="宋体" w:hAnsi="宋体" w:cs="宋体"/>
                <w:color w:val="auto"/>
                <w:szCs w:val="21"/>
              </w:rPr>
            </w:pPr>
            <w:r>
              <w:rPr>
                <w:color w:val="auto"/>
                <w:kern w:val="0"/>
                <w:szCs w:val="21"/>
              </w:rPr>
              <w:t>15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72945CC">
            <w:pPr>
              <w:widowControl/>
              <w:spacing w:line="240" w:lineRule="exact"/>
              <w:jc w:val="center"/>
              <w:textAlignment w:val="center"/>
              <w:rPr>
                <w:rFonts w:ascii="宋体" w:hAnsi="宋体" w:cs="宋体"/>
                <w:color w:val="auto"/>
                <w:szCs w:val="21"/>
              </w:rPr>
            </w:pPr>
            <w:r>
              <w:rPr>
                <w:color w:val="auto"/>
                <w:kern w:val="0"/>
                <w:szCs w:val="21"/>
              </w:rPr>
              <w:t>15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729DD65D">
            <w:pPr>
              <w:spacing w:line="240" w:lineRule="exact"/>
              <w:jc w:val="center"/>
              <w:rPr>
                <w:rFonts w:ascii="宋体" w:hAnsi="宋体" w:cs="宋体"/>
                <w:color w:val="auto"/>
                <w:szCs w:val="21"/>
              </w:rPr>
            </w:pPr>
          </w:p>
        </w:tc>
      </w:tr>
      <w:tr w14:paraId="215D0608">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2BFE5302">
            <w:pPr>
              <w:spacing w:line="240" w:lineRule="exact"/>
              <w:jc w:val="center"/>
              <w:rPr>
                <w:rFonts w:ascii="宋体" w:hAnsi="宋体" w:cs="宋体"/>
                <w:color w:val="auto"/>
                <w:szCs w:val="21"/>
              </w:rPr>
            </w:pPr>
          </w:p>
        </w:tc>
        <w:tc>
          <w:tcPr>
            <w:tcW w:w="498"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ECFF9C0">
            <w:pPr>
              <w:spacing w:line="240" w:lineRule="exact"/>
              <w:jc w:val="center"/>
              <w:rPr>
                <w:rFonts w:ascii="宋体" w:hAnsi="宋体" w:cs="宋体"/>
                <w:color w:val="auto"/>
                <w:szCs w:val="21"/>
              </w:rPr>
            </w:pP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30BF351E">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可持续影响</w:t>
            </w:r>
          </w:p>
          <w:p w14:paraId="24669966">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7AFDD5E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保障业务培训可持续性</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1053953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定性</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5BB62E38">
            <w:pPr>
              <w:spacing w:line="240" w:lineRule="exact"/>
              <w:jc w:val="center"/>
              <w:rPr>
                <w:rFonts w:ascii="宋体" w:hAnsi="宋体" w:cs="宋体"/>
                <w:color w:val="auto"/>
                <w:szCs w:val="21"/>
              </w:rPr>
            </w:pP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4B3F50B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持续保障</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098DE9D6">
            <w:pPr>
              <w:widowControl/>
              <w:spacing w:line="24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持续</w:t>
            </w:r>
          </w:p>
          <w:p w14:paraId="1F938419">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保障</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66977BD5">
            <w:pPr>
              <w:spacing w:line="240" w:lineRule="exact"/>
              <w:jc w:val="center"/>
              <w:rPr>
                <w:rFonts w:ascii="宋体" w:hAnsi="宋体" w:cs="宋体"/>
                <w:color w:val="auto"/>
                <w:szCs w:val="21"/>
              </w:rPr>
            </w:pP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6C4569E5">
            <w:pPr>
              <w:widowControl/>
              <w:spacing w:line="240" w:lineRule="exact"/>
              <w:jc w:val="center"/>
              <w:textAlignment w:val="center"/>
              <w:rPr>
                <w:rFonts w:ascii="宋体" w:hAnsi="宋体" w:cs="宋体"/>
                <w:color w:val="auto"/>
                <w:szCs w:val="21"/>
              </w:rPr>
            </w:pPr>
            <w:r>
              <w:rPr>
                <w:color w:val="auto"/>
                <w:kern w:val="0"/>
                <w:szCs w:val="21"/>
              </w:rPr>
              <w:t>15</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28F43354">
            <w:pPr>
              <w:widowControl/>
              <w:spacing w:line="240" w:lineRule="exact"/>
              <w:jc w:val="center"/>
              <w:textAlignment w:val="center"/>
              <w:rPr>
                <w:rFonts w:ascii="宋体" w:hAnsi="宋体" w:cs="宋体"/>
                <w:color w:val="auto"/>
                <w:szCs w:val="21"/>
              </w:rPr>
            </w:pPr>
            <w:r>
              <w:rPr>
                <w:color w:val="auto"/>
                <w:kern w:val="0"/>
                <w:szCs w:val="21"/>
              </w:rPr>
              <w:t>15</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4D65EFF1">
            <w:pPr>
              <w:spacing w:line="240" w:lineRule="exact"/>
              <w:jc w:val="center"/>
              <w:rPr>
                <w:rFonts w:ascii="宋体" w:hAnsi="宋体" w:cs="宋体"/>
                <w:color w:val="auto"/>
                <w:szCs w:val="21"/>
              </w:rPr>
            </w:pPr>
          </w:p>
        </w:tc>
      </w:tr>
      <w:tr w14:paraId="5B82B69D">
        <w:tblPrEx>
          <w:tblCellMar>
            <w:top w:w="0" w:type="dxa"/>
            <w:left w:w="28" w:type="dxa"/>
            <w:bottom w:w="0" w:type="dxa"/>
            <w:right w:w="28" w:type="dxa"/>
          </w:tblCellMar>
        </w:tblPrEx>
        <w:trPr>
          <w:trHeight w:val="840" w:hRule="atLeast"/>
          <w:jc w:val="center"/>
        </w:trPr>
        <w:tc>
          <w:tcPr>
            <w:tcW w:w="389" w:type="dxa"/>
            <w:vMerge w:val="continue"/>
            <w:tcBorders>
              <w:top w:val="single" w:color="000000" w:sz="4" w:space="0"/>
              <w:left w:val="single" w:color="000000" w:sz="4" w:space="0"/>
              <w:bottom w:val="nil"/>
              <w:right w:val="single" w:color="000000" w:sz="4" w:space="0"/>
            </w:tcBorders>
            <w:shd w:val="clear" w:color="auto" w:fill="auto"/>
            <w:vAlign w:val="center"/>
          </w:tcPr>
          <w:p w14:paraId="63D0002A">
            <w:pPr>
              <w:spacing w:line="240" w:lineRule="exact"/>
              <w:jc w:val="center"/>
              <w:rPr>
                <w:rFonts w:ascii="宋体" w:hAnsi="宋体" w:cs="宋体"/>
                <w:color w:val="auto"/>
                <w:szCs w:val="21"/>
              </w:rPr>
            </w:pPr>
          </w:p>
        </w:tc>
        <w:tc>
          <w:tcPr>
            <w:tcW w:w="498" w:type="dxa"/>
            <w:gridSpan w:val="2"/>
            <w:tcBorders>
              <w:top w:val="single" w:color="000000" w:sz="4" w:space="0"/>
              <w:left w:val="single" w:color="000000" w:sz="4" w:space="0"/>
              <w:bottom w:val="nil"/>
              <w:right w:val="single" w:color="000000" w:sz="4" w:space="0"/>
            </w:tcBorders>
            <w:shd w:val="clear" w:color="auto" w:fill="auto"/>
            <w:vAlign w:val="center"/>
          </w:tcPr>
          <w:p w14:paraId="6D350F7A">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满意度指标</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72C9122D">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服务对象满意度指标</w:t>
            </w:r>
          </w:p>
        </w:tc>
        <w:tc>
          <w:tcPr>
            <w:tcW w:w="843" w:type="dxa"/>
            <w:gridSpan w:val="2"/>
            <w:tcBorders>
              <w:top w:val="single" w:color="000000" w:sz="4" w:space="0"/>
              <w:left w:val="single" w:color="000000" w:sz="4" w:space="0"/>
              <w:bottom w:val="nil"/>
              <w:right w:val="single" w:color="000000" w:sz="4" w:space="0"/>
            </w:tcBorders>
            <w:shd w:val="clear" w:color="auto" w:fill="auto"/>
            <w:vAlign w:val="center"/>
          </w:tcPr>
          <w:p w14:paraId="0B29B015">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培训人员满意度</w:t>
            </w:r>
          </w:p>
        </w:tc>
        <w:tc>
          <w:tcPr>
            <w:tcW w:w="582" w:type="dxa"/>
            <w:tcBorders>
              <w:top w:val="single" w:color="000000" w:sz="4" w:space="0"/>
              <w:left w:val="single" w:color="000000" w:sz="4" w:space="0"/>
              <w:bottom w:val="nil"/>
              <w:right w:val="single" w:color="000000" w:sz="4" w:space="0"/>
            </w:tcBorders>
            <w:shd w:val="clear" w:color="auto" w:fill="auto"/>
            <w:vAlign w:val="center"/>
          </w:tcPr>
          <w:p w14:paraId="25D65930">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34" w:type="dxa"/>
            <w:gridSpan w:val="3"/>
            <w:tcBorders>
              <w:top w:val="single" w:color="000000" w:sz="4" w:space="0"/>
              <w:left w:val="single" w:color="000000" w:sz="4" w:space="0"/>
              <w:bottom w:val="nil"/>
              <w:right w:val="single" w:color="000000" w:sz="4" w:space="0"/>
            </w:tcBorders>
            <w:shd w:val="clear" w:color="auto" w:fill="auto"/>
            <w:vAlign w:val="center"/>
          </w:tcPr>
          <w:p w14:paraId="7D109A17">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1197" w:type="dxa"/>
            <w:gridSpan w:val="2"/>
            <w:tcBorders>
              <w:top w:val="single" w:color="000000" w:sz="4" w:space="0"/>
              <w:left w:val="single" w:color="000000" w:sz="4" w:space="0"/>
              <w:bottom w:val="nil"/>
              <w:right w:val="single" w:color="000000" w:sz="4" w:space="0"/>
            </w:tcBorders>
            <w:shd w:val="clear" w:color="auto" w:fill="auto"/>
            <w:vAlign w:val="center"/>
          </w:tcPr>
          <w:p w14:paraId="71ADE0C4">
            <w:pPr>
              <w:widowControl/>
              <w:spacing w:line="240" w:lineRule="exact"/>
              <w:jc w:val="center"/>
              <w:textAlignment w:val="center"/>
              <w:rPr>
                <w:rFonts w:ascii="宋体" w:hAnsi="宋体" w:cs="宋体"/>
                <w:color w:val="auto"/>
                <w:szCs w:val="21"/>
              </w:rPr>
            </w:pPr>
            <w:r>
              <w:rPr>
                <w:color w:val="auto"/>
                <w:kern w:val="0"/>
                <w:szCs w:val="21"/>
              </w:rPr>
              <w:t>95</w:t>
            </w:r>
          </w:p>
        </w:tc>
        <w:tc>
          <w:tcPr>
            <w:tcW w:w="705" w:type="dxa"/>
            <w:gridSpan w:val="2"/>
            <w:tcBorders>
              <w:top w:val="single" w:color="000000" w:sz="4" w:space="0"/>
              <w:left w:val="single" w:color="000000" w:sz="4" w:space="0"/>
              <w:bottom w:val="nil"/>
              <w:right w:val="single" w:color="000000" w:sz="4" w:space="0"/>
            </w:tcBorders>
            <w:shd w:val="clear" w:color="auto" w:fill="auto"/>
            <w:vAlign w:val="center"/>
          </w:tcPr>
          <w:p w14:paraId="5C253205">
            <w:pPr>
              <w:widowControl/>
              <w:spacing w:line="240" w:lineRule="exact"/>
              <w:jc w:val="center"/>
              <w:textAlignment w:val="center"/>
              <w:rPr>
                <w:rFonts w:ascii="宋体" w:hAnsi="宋体" w:cs="宋体"/>
                <w:color w:val="auto"/>
                <w:szCs w:val="21"/>
              </w:rPr>
            </w:pPr>
            <w:r>
              <w:rPr>
                <w:color w:val="auto"/>
                <w:kern w:val="0"/>
                <w:szCs w:val="21"/>
              </w:rPr>
              <w:t>95</w:t>
            </w:r>
          </w:p>
        </w:tc>
        <w:tc>
          <w:tcPr>
            <w:tcW w:w="804" w:type="dxa"/>
            <w:tcBorders>
              <w:top w:val="single" w:color="000000" w:sz="4" w:space="0"/>
              <w:left w:val="single" w:color="000000" w:sz="4" w:space="0"/>
              <w:bottom w:val="nil"/>
              <w:right w:val="single" w:color="000000" w:sz="4" w:space="0"/>
            </w:tcBorders>
            <w:shd w:val="clear" w:color="auto" w:fill="auto"/>
            <w:vAlign w:val="center"/>
          </w:tcPr>
          <w:p w14:paraId="56DBFD7E">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089C324C">
            <w:pPr>
              <w:widowControl/>
              <w:spacing w:line="240" w:lineRule="exact"/>
              <w:jc w:val="center"/>
              <w:textAlignment w:val="center"/>
              <w:rPr>
                <w:rFonts w:ascii="宋体" w:hAnsi="宋体" w:cs="宋体"/>
                <w:color w:val="auto"/>
                <w:szCs w:val="21"/>
              </w:rPr>
            </w:pPr>
            <w:r>
              <w:rPr>
                <w:color w:val="auto"/>
                <w:kern w:val="0"/>
                <w:szCs w:val="21"/>
              </w:rPr>
              <w:t>10</w:t>
            </w:r>
          </w:p>
        </w:tc>
        <w:tc>
          <w:tcPr>
            <w:tcW w:w="475" w:type="dxa"/>
            <w:gridSpan w:val="2"/>
            <w:tcBorders>
              <w:top w:val="single" w:color="000000" w:sz="4" w:space="0"/>
              <w:left w:val="single" w:color="000000" w:sz="4" w:space="0"/>
              <w:bottom w:val="nil"/>
              <w:right w:val="single" w:color="000000" w:sz="4" w:space="0"/>
            </w:tcBorders>
            <w:shd w:val="clear" w:color="auto" w:fill="auto"/>
            <w:vAlign w:val="center"/>
          </w:tcPr>
          <w:p w14:paraId="626E0654">
            <w:pPr>
              <w:widowControl/>
              <w:spacing w:line="240" w:lineRule="exact"/>
              <w:jc w:val="center"/>
              <w:textAlignment w:val="center"/>
              <w:rPr>
                <w:rFonts w:ascii="宋体" w:hAnsi="宋体" w:cs="宋体"/>
                <w:color w:val="auto"/>
                <w:szCs w:val="21"/>
              </w:rPr>
            </w:pPr>
            <w:r>
              <w:rPr>
                <w:color w:val="auto"/>
                <w:kern w:val="0"/>
                <w:szCs w:val="21"/>
              </w:rPr>
              <w:t>10</w:t>
            </w:r>
          </w:p>
        </w:tc>
        <w:tc>
          <w:tcPr>
            <w:tcW w:w="2062" w:type="dxa"/>
            <w:gridSpan w:val="4"/>
            <w:tcBorders>
              <w:top w:val="single" w:color="000000" w:sz="4" w:space="0"/>
              <w:left w:val="single" w:color="000000" w:sz="4" w:space="0"/>
              <w:bottom w:val="nil"/>
              <w:right w:val="single" w:color="000000" w:sz="4" w:space="0"/>
            </w:tcBorders>
            <w:shd w:val="clear" w:color="auto" w:fill="auto"/>
            <w:vAlign w:val="center"/>
          </w:tcPr>
          <w:p w14:paraId="2A46F204">
            <w:pPr>
              <w:spacing w:line="240" w:lineRule="exact"/>
              <w:jc w:val="center"/>
              <w:rPr>
                <w:rFonts w:ascii="宋体" w:hAnsi="宋体" w:cs="宋体"/>
                <w:color w:val="auto"/>
                <w:szCs w:val="21"/>
              </w:rPr>
            </w:pPr>
          </w:p>
        </w:tc>
      </w:tr>
      <w:tr w14:paraId="002147F0">
        <w:tblPrEx>
          <w:tblCellMar>
            <w:top w:w="0" w:type="dxa"/>
            <w:left w:w="28" w:type="dxa"/>
            <w:bottom w:w="0" w:type="dxa"/>
            <w:right w:w="28" w:type="dxa"/>
          </w:tblCellMar>
        </w:tblPrEx>
        <w:trPr>
          <w:trHeight w:val="840" w:hRule="atLeast"/>
          <w:jc w:val="center"/>
        </w:trPr>
        <w:tc>
          <w:tcPr>
            <w:tcW w:w="665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14E42B8">
            <w:pPr>
              <w:widowControl/>
              <w:spacing w:line="240" w:lineRule="exact"/>
              <w:jc w:val="center"/>
              <w:textAlignment w:val="center"/>
              <w:rPr>
                <w:rFonts w:ascii="宋体" w:hAnsi="宋体" w:cs="宋体"/>
                <w:color w:val="auto"/>
                <w:szCs w:val="21"/>
              </w:rPr>
            </w:pPr>
            <w:r>
              <w:rPr>
                <w:rFonts w:hint="eastAsia" w:ascii="宋体" w:hAnsi="宋体" w:cs="宋体"/>
                <w:color w:val="auto"/>
                <w:kern w:val="0"/>
                <w:szCs w:val="21"/>
              </w:rPr>
              <w:t>总分</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0D93E">
            <w:pPr>
              <w:widowControl/>
              <w:spacing w:line="240" w:lineRule="exact"/>
              <w:jc w:val="center"/>
              <w:textAlignment w:val="center"/>
              <w:rPr>
                <w:rFonts w:ascii="宋体" w:hAnsi="宋体" w:cs="宋体"/>
                <w:color w:val="auto"/>
                <w:szCs w:val="21"/>
              </w:rPr>
            </w:pPr>
            <w:r>
              <w:rPr>
                <w:color w:val="auto"/>
                <w:kern w:val="0"/>
                <w:szCs w:val="21"/>
              </w:rPr>
              <w:t>100</w:t>
            </w:r>
          </w:p>
        </w:tc>
        <w:tc>
          <w:tcPr>
            <w:tcW w:w="4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3F5E3">
            <w:pPr>
              <w:widowControl/>
              <w:spacing w:line="240" w:lineRule="exact"/>
              <w:jc w:val="center"/>
              <w:textAlignment w:val="center"/>
              <w:rPr>
                <w:rFonts w:ascii="宋体" w:hAnsi="宋体" w:cs="宋体"/>
                <w:color w:val="auto"/>
                <w:szCs w:val="21"/>
              </w:rPr>
            </w:pPr>
            <w:r>
              <w:rPr>
                <w:color w:val="auto"/>
                <w:kern w:val="0"/>
                <w:szCs w:val="21"/>
              </w:rPr>
              <w:t>100</w:t>
            </w:r>
          </w:p>
        </w:tc>
        <w:tc>
          <w:tcPr>
            <w:tcW w:w="206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257D14">
            <w:pPr>
              <w:spacing w:line="240" w:lineRule="exact"/>
              <w:jc w:val="center"/>
              <w:rPr>
                <w:rFonts w:ascii="宋体" w:hAnsi="宋体" w:cs="宋体"/>
                <w:color w:val="auto"/>
                <w:szCs w:val="21"/>
              </w:rPr>
            </w:pPr>
          </w:p>
        </w:tc>
      </w:tr>
    </w:tbl>
    <w:p w14:paraId="68528C2E">
      <w:pPr>
        <w:rPr>
          <w:color w:val="auto"/>
        </w:rPr>
      </w:pPr>
    </w:p>
    <w:tbl>
      <w:tblPr>
        <w:tblStyle w:val="11"/>
        <w:tblW w:w="9549" w:type="dxa"/>
        <w:jc w:val="center"/>
        <w:tblLayout w:type="fixed"/>
        <w:tblCellMar>
          <w:top w:w="0" w:type="dxa"/>
          <w:left w:w="28" w:type="dxa"/>
          <w:bottom w:w="0" w:type="dxa"/>
          <w:right w:w="28" w:type="dxa"/>
        </w:tblCellMar>
      </w:tblPr>
      <w:tblGrid>
        <w:gridCol w:w="419"/>
        <w:gridCol w:w="435"/>
        <w:gridCol w:w="728"/>
        <w:gridCol w:w="1062"/>
        <w:gridCol w:w="543"/>
        <w:gridCol w:w="959"/>
        <w:gridCol w:w="822"/>
        <w:gridCol w:w="692"/>
        <w:gridCol w:w="807"/>
        <w:gridCol w:w="644"/>
        <w:gridCol w:w="844"/>
        <w:gridCol w:w="1594"/>
      </w:tblGrid>
      <w:tr w14:paraId="5175F3BA">
        <w:tblPrEx>
          <w:tblCellMar>
            <w:top w:w="0" w:type="dxa"/>
            <w:left w:w="28" w:type="dxa"/>
            <w:bottom w:w="0" w:type="dxa"/>
            <w:right w:w="28" w:type="dxa"/>
          </w:tblCellMar>
        </w:tblPrEx>
        <w:trPr>
          <w:trHeight w:val="960" w:hRule="atLeast"/>
          <w:jc w:val="center"/>
        </w:trPr>
        <w:tc>
          <w:tcPr>
            <w:tcW w:w="954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3B04C1D">
            <w:pPr>
              <w:widowControl/>
              <w:spacing w:line="400" w:lineRule="exact"/>
              <w:jc w:val="center"/>
              <w:textAlignment w:val="center"/>
              <w:rPr>
                <w:rFonts w:ascii="宋体" w:hAnsi="宋体" w:cs="宋体"/>
                <w:b/>
                <w:bCs/>
                <w:color w:val="auto"/>
                <w:sz w:val="40"/>
                <w:szCs w:val="40"/>
              </w:rPr>
            </w:pPr>
            <w:r>
              <w:rPr>
                <w:rFonts w:hint="eastAsia" w:hAnsi="黑体" w:eastAsia="黑体"/>
                <w:bCs/>
                <w:color w:val="auto"/>
                <w:kern w:val="0"/>
                <w:sz w:val="30"/>
                <w:szCs w:val="30"/>
              </w:rPr>
              <w:t>项目支出绩效自评表</w:t>
            </w:r>
            <w:r>
              <w:rPr>
                <w:rFonts w:hint="eastAsia" w:hAnsi="黑体" w:eastAsia="黑体"/>
                <w:bCs/>
                <w:color w:val="auto"/>
                <w:kern w:val="0"/>
                <w:sz w:val="30"/>
                <w:szCs w:val="30"/>
              </w:rPr>
              <w:br w:type="textWrapping"/>
            </w:r>
            <w:r>
              <w:rPr>
                <w:rFonts w:hint="eastAsia" w:hAnsi="黑体" w:eastAsia="黑体"/>
                <w:bCs/>
                <w:color w:val="auto"/>
                <w:kern w:val="0"/>
                <w:sz w:val="30"/>
                <w:szCs w:val="30"/>
              </w:rPr>
              <w:t>(</w:t>
            </w:r>
            <w:r>
              <w:rPr>
                <w:rFonts w:hAnsi="黑体" w:eastAsia="黑体"/>
                <w:bCs/>
                <w:color w:val="auto"/>
                <w:kern w:val="0"/>
                <w:sz w:val="30"/>
                <w:szCs w:val="30"/>
              </w:rPr>
              <w:t>2025</w:t>
            </w:r>
            <w:r>
              <w:rPr>
                <w:rFonts w:hint="eastAsia" w:hAnsi="黑体" w:eastAsia="黑体"/>
                <w:bCs/>
                <w:color w:val="auto"/>
                <w:kern w:val="0"/>
                <w:sz w:val="30"/>
                <w:szCs w:val="30"/>
              </w:rPr>
              <w:t>年度）</w:t>
            </w:r>
          </w:p>
        </w:tc>
      </w:tr>
      <w:tr w14:paraId="43F29E6B">
        <w:tblPrEx>
          <w:tblCellMar>
            <w:top w:w="0" w:type="dxa"/>
            <w:left w:w="28" w:type="dxa"/>
            <w:bottom w:w="0" w:type="dxa"/>
            <w:right w:w="28" w:type="dxa"/>
          </w:tblCellMar>
        </w:tblPrEx>
        <w:trPr>
          <w:trHeight w:val="913" w:hRule="atLeast"/>
          <w:jc w:val="center"/>
        </w:trPr>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8645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项目</w:t>
            </w:r>
          </w:p>
          <w:p w14:paraId="70598252">
            <w:pPr>
              <w:widowControl/>
              <w:jc w:val="center"/>
              <w:textAlignment w:val="center"/>
              <w:rPr>
                <w:rFonts w:ascii="宋体" w:hAnsi="宋体" w:cs="宋体"/>
                <w:color w:val="auto"/>
                <w:szCs w:val="21"/>
              </w:rPr>
            </w:pPr>
            <w:r>
              <w:rPr>
                <w:rFonts w:hint="eastAsia" w:ascii="宋体" w:hAnsi="宋体" w:cs="宋体"/>
                <w:color w:val="auto"/>
                <w:kern w:val="0"/>
                <w:szCs w:val="21"/>
              </w:rPr>
              <w:t>名称</w:t>
            </w:r>
          </w:p>
        </w:tc>
        <w:tc>
          <w:tcPr>
            <w:tcW w:w="86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8FDC11">
            <w:pPr>
              <w:widowControl/>
              <w:jc w:val="center"/>
              <w:textAlignment w:val="center"/>
              <w:rPr>
                <w:rFonts w:ascii="宋体" w:hAnsi="宋体" w:cs="宋体"/>
                <w:color w:val="auto"/>
                <w:szCs w:val="21"/>
              </w:rPr>
            </w:pPr>
            <w:r>
              <w:rPr>
                <w:rFonts w:hint="eastAsia" w:ascii="宋体" w:hAnsi="宋体" w:cs="宋体"/>
                <w:color w:val="auto"/>
                <w:kern w:val="0"/>
                <w:szCs w:val="21"/>
              </w:rPr>
              <w:t>检察系统服装费</w:t>
            </w:r>
          </w:p>
        </w:tc>
      </w:tr>
      <w:tr w14:paraId="223C9659">
        <w:tblPrEx>
          <w:tblCellMar>
            <w:top w:w="0" w:type="dxa"/>
            <w:left w:w="28" w:type="dxa"/>
            <w:bottom w:w="0" w:type="dxa"/>
            <w:right w:w="28" w:type="dxa"/>
          </w:tblCellMar>
        </w:tblPrEx>
        <w:trPr>
          <w:trHeight w:val="964" w:hRule="exact"/>
          <w:jc w:val="center"/>
        </w:trPr>
        <w:tc>
          <w:tcPr>
            <w:tcW w:w="8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8AEF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主管</w:t>
            </w:r>
          </w:p>
          <w:p w14:paraId="5AA87450">
            <w:pPr>
              <w:widowControl/>
              <w:jc w:val="center"/>
              <w:textAlignment w:val="center"/>
              <w:rPr>
                <w:rFonts w:ascii="宋体" w:hAnsi="宋体" w:cs="宋体"/>
                <w:color w:val="auto"/>
                <w:szCs w:val="21"/>
              </w:rPr>
            </w:pPr>
            <w:r>
              <w:rPr>
                <w:rFonts w:hint="eastAsia" w:ascii="宋体" w:hAnsi="宋体" w:cs="宋体"/>
                <w:color w:val="auto"/>
                <w:kern w:val="0"/>
                <w:szCs w:val="21"/>
              </w:rPr>
              <w:t>部门</w:t>
            </w:r>
          </w:p>
        </w:tc>
        <w:tc>
          <w:tcPr>
            <w:tcW w:w="32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95B020">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内蒙古自治区人民检察院部门</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FAFF9">
            <w:pPr>
              <w:widowControl/>
              <w:jc w:val="center"/>
              <w:textAlignment w:val="center"/>
              <w:rPr>
                <w:rFonts w:ascii="宋体" w:hAnsi="宋体" w:cs="宋体"/>
                <w:color w:val="auto"/>
                <w:szCs w:val="21"/>
              </w:rPr>
            </w:pPr>
            <w:r>
              <w:rPr>
                <w:rFonts w:hint="eastAsia" w:ascii="宋体" w:hAnsi="宋体" w:cs="宋体"/>
                <w:color w:val="auto"/>
                <w:kern w:val="0"/>
                <w:szCs w:val="21"/>
              </w:rPr>
              <w:t>实施单位</w:t>
            </w:r>
          </w:p>
        </w:tc>
        <w:tc>
          <w:tcPr>
            <w:tcW w:w="388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3F4D01">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w:t>
            </w:r>
          </w:p>
        </w:tc>
      </w:tr>
      <w:tr w14:paraId="6D4BDF28">
        <w:tblPrEx>
          <w:tblCellMar>
            <w:top w:w="0" w:type="dxa"/>
            <w:left w:w="28" w:type="dxa"/>
            <w:bottom w:w="0" w:type="dxa"/>
            <w:right w:w="28" w:type="dxa"/>
          </w:tblCellMar>
        </w:tblPrEx>
        <w:trPr>
          <w:trHeight w:val="964" w:hRule="exact"/>
          <w:jc w:val="center"/>
        </w:trPr>
        <w:tc>
          <w:tcPr>
            <w:tcW w:w="8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B9A1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项目</w:t>
            </w:r>
          </w:p>
          <w:p w14:paraId="6C57455E">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0ADA25BD">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1835">
            <w:pPr>
              <w:jc w:val="center"/>
              <w:rPr>
                <w:rFonts w:ascii="宋体" w:hAnsi="宋体" w:cs="宋体"/>
                <w:color w:val="auto"/>
                <w:szCs w:val="21"/>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A48E">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年初</w:t>
            </w:r>
          </w:p>
          <w:p w14:paraId="6F099B54">
            <w:pPr>
              <w:widowControl/>
              <w:jc w:val="center"/>
              <w:textAlignment w:val="center"/>
              <w:rPr>
                <w:rFonts w:ascii="宋体" w:hAnsi="宋体" w:cs="宋体"/>
                <w:color w:val="auto"/>
                <w:szCs w:val="21"/>
              </w:rPr>
            </w:pPr>
            <w:r>
              <w:rPr>
                <w:rFonts w:hint="eastAsia" w:ascii="宋体" w:hAnsi="宋体" w:cs="宋体"/>
                <w:color w:val="auto"/>
                <w:kern w:val="0"/>
                <w:szCs w:val="21"/>
              </w:rPr>
              <w:t>预算数</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2BBE9">
            <w:pPr>
              <w:widowControl/>
              <w:jc w:val="center"/>
              <w:textAlignment w:val="center"/>
              <w:rPr>
                <w:rFonts w:ascii="宋体" w:hAnsi="宋体" w:cs="宋体"/>
                <w:color w:val="auto"/>
                <w:szCs w:val="21"/>
              </w:rPr>
            </w:pPr>
            <w:r>
              <w:rPr>
                <w:rFonts w:hint="eastAsia" w:ascii="宋体" w:hAnsi="宋体" w:cs="宋体"/>
                <w:color w:val="auto"/>
                <w:kern w:val="0"/>
                <w:szCs w:val="21"/>
              </w:rPr>
              <w:t>全年预算数</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6CD09">
            <w:pPr>
              <w:widowControl/>
              <w:jc w:val="center"/>
              <w:textAlignment w:val="center"/>
              <w:rPr>
                <w:rFonts w:ascii="宋体" w:hAnsi="宋体" w:cs="宋体"/>
                <w:color w:val="auto"/>
                <w:szCs w:val="21"/>
              </w:rPr>
            </w:pPr>
            <w:r>
              <w:rPr>
                <w:rFonts w:hint="eastAsia" w:ascii="宋体" w:hAnsi="宋体" w:cs="宋体"/>
                <w:color w:val="auto"/>
                <w:kern w:val="0"/>
                <w:szCs w:val="21"/>
              </w:rPr>
              <w:t>全年执行数</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D91C">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7DF9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执行率</w:t>
            </w:r>
          </w:p>
          <w:p w14:paraId="2CB013A4">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6434">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r>
      <w:tr w14:paraId="6A8551E9">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365A3">
            <w:pPr>
              <w:jc w:val="center"/>
              <w:rPr>
                <w:rFonts w:ascii="宋体" w:hAnsi="宋体" w:cs="宋体"/>
                <w:color w:val="auto"/>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0747">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527845C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0195BC4A">
            <w:pPr>
              <w:widowControl/>
              <w:jc w:val="center"/>
              <w:textAlignment w:val="center"/>
              <w:rPr>
                <w:rFonts w:ascii="宋体" w:hAnsi="宋体" w:cs="宋体"/>
                <w:color w:val="auto"/>
                <w:szCs w:val="21"/>
              </w:rPr>
            </w:pPr>
            <w:r>
              <w:rPr>
                <w:rFonts w:hint="eastAsia" w:ascii="宋体" w:hAnsi="宋体" w:cs="宋体"/>
                <w:color w:val="auto"/>
                <w:kern w:val="0"/>
                <w:szCs w:val="21"/>
              </w:rPr>
              <w:t>总额</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4D95">
            <w:pPr>
              <w:widowControl/>
              <w:jc w:val="center"/>
              <w:textAlignment w:val="center"/>
              <w:rPr>
                <w:rFonts w:ascii="宋体" w:hAnsi="宋体" w:cs="宋体"/>
                <w:color w:val="auto"/>
                <w:szCs w:val="21"/>
              </w:rPr>
            </w:pPr>
            <w:r>
              <w:rPr>
                <w:color w:val="auto"/>
                <w:kern w:val="0"/>
                <w:szCs w:val="21"/>
              </w:rPr>
              <w:t>1036</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BBE86">
            <w:pPr>
              <w:widowControl/>
              <w:jc w:val="center"/>
              <w:textAlignment w:val="center"/>
              <w:rPr>
                <w:rFonts w:ascii="宋体" w:hAnsi="宋体" w:cs="宋体"/>
                <w:color w:val="auto"/>
                <w:szCs w:val="21"/>
              </w:rPr>
            </w:pPr>
            <w:r>
              <w:rPr>
                <w:color w:val="auto"/>
                <w:kern w:val="0"/>
                <w:szCs w:val="21"/>
              </w:rPr>
              <w:t>1036</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34CFE">
            <w:pPr>
              <w:widowControl/>
              <w:jc w:val="center"/>
              <w:textAlignment w:val="center"/>
              <w:rPr>
                <w:rFonts w:ascii="宋体" w:hAnsi="宋体" w:cs="宋体"/>
                <w:color w:val="auto"/>
                <w:szCs w:val="21"/>
              </w:rPr>
            </w:pPr>
            <w:r>
              <w:rPr>
                <w:color w:val="auto"/>
                <w:kern w:val="0"/>
                <w:szCs w:val="21"/>
              </w:rPr>
              <w:t>769</w:t>
            </w:r>
            <w:r>
              <w:rPr>
                <w:rFonts w:hint="eastAsia" w:ascii="宋体" w:hAnsi="宋体" w:cs="宋体"/>
                <w:color w:val="auto"/>
                <w:kern w:val="0"/>
                <w:szCs w:val="21"/>
              </w:rPr>
              <w:t>.</w:t>
            </w:r>
            <w:r>
              <w:rPr>
                <w:color w:val="auto"/>
                <w:kern w:val="0"/>
                <w:szCs w:val="21"/>
              </w:rPr>
              <w:t>82</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939">
            <w:pPr>
              <w:widowControl/>
              <w:jc w:val="center"/>
              <w:textAlignment w:val="center"/>
              <w:rPr>
                <w:rFonts w:ascii="宋体" w:hAnsi="宋体" w:cs="宋体"/>
                <w:color w:val="auto"/>
                <w:szCs w:val="21"/>
              </w:rPr>
            </w:pPr>
            <w:r>
              <w:rPr>
                <w:color w:val="auto"/>
                <w:kern w:val="0"/>
                <w:szCs w:val="21"/>
              </w:rPr>
              <w:t>10</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9DABE6">
            <w:pPr>
              <w:widowControl/>
              <w:jc w:val="center"/>
              <w:textAlignment w:val="center"/>
              <w:rPr>
                <w:rFonts w:ascii="宋体" w:hAnsi="宋体" w:cs="宋体"/>
                <w:color w:val="auto"/>
                <w:szCs w:val="21"/>
              </w:rPr>
            </w:pPr>
            <w:r>
              <w:rPr>
                <w:color w:val="auto"/>
                <w:kern w:val="0"/>
                <w:szCs w:val="21"/>
              </w:rPr>
              <w:t>74</w:t>
            </w:r>
            <w:r>
              <w:rPr>
                <w:rFonts w:hint="eastAsia" w:ascii="宋体" w:hAnsi="宋体" w:cs="宋体"/>
                <w:color w:val="auto"/>
                <w:kern w:val="0"/>
                <w:szCs w:val="21"/>
              </w:rPr>
              <w:t>.</w:t>
            </w:r>
            <w:r>
              <w:rPr>
                <w:color w:val="auto"/>
                <w:kern w:val="0"/>
                <w:szCs w:val="21"/>
              </w:rPr>
              <w:t>31</w:t>
            </w:r>
            <w:r>
              <w:rPr>
                <w:rFonts w:hint="eastAsia" w:ascii="宋体" w:hAnsi="宋体" w:cs="宋体"/>
                <w:color w:val="auto"/>
                <w:kern w:val="0"/>
                <w:szCs w:val="21"/>
              </w:rPr>
              <w:t>%</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A4E2">
            <w:pPr>
              <w:widowControl/>
              <w:jc w:val="center"/>
              <w:textAlignment w:val="center"/>
              <w:rPr>
                <w:rFonts w:ascii="宋体" w:hAnsi="宋体" w:cs="宋体"/>
                <w:color w:val="auto"/>
                <w:szCs w:val="21"/>
              </w:rPr>
            </w:pPr>
            <w:r>
              <w:rPr>
                <w:color w:val="auto"/>
                <w:kern w:val="0"/>
                <w:szCs w:val="21"/>
              </w:rPr>
              <w:t>7</w:t>
            </w:r>
            <w:r>
              <w:rPr>
                <w:rFonts w:hint="eastAsia" w:ascii="宋体" w:hAnsi="宋体" w:cs="宋体"/>
                <w:color w:val="auto"/>
                <w:kern w:val="0"/>
                <w:szCs w:val="21"/>
              </w:rPr>
              <w:t>.</w:t>
            </w:r>
            <w:r>
              <w:rPr>
                <w:color w:val="auto"/>
                <w:kern w:val="0"/>
                <w:szCs w:val="21"/>
              </w:rPr>
              <w:t>43</w:t>
            </w:r>
          </w:p>
        </w:tc>
      </w:tr>
      <w:tr w14:paraId="20E89A06">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15647">
            <w:pPr>
              <w:jc w:val="center"/>
              <w:rPr>
                <w:rFonts w:ascii="宋体" w:hAnsi="宋体" w:cs="宋体"/>
                <w:color w:val="auto"/>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D072">
            <w:pPr>
              <w:widowControl/>
              <w:jc w:val="center"/>
              <w:textAlignment w:val="center"/>
              <w:rPr>
                <w:rFonts w:ascii="宋体" w:hAnsi="宋体" w:cs="宋体"/>
                <w:color w:val="auto"/>
                <w:szCs w:val="21"/>
              </w:rPr>
            </w:pPr>
            <w:r>
              <w:rPr>
                <w:rFonts w:hint="eastAsia" w:ascii="宋体" w:hAnsi="宋体" w:cs="宋体"/>
                <w:color w:val="auto"/>
                <w:kern w:val="0"/>
                <w:szCs w:val="21"/>
              </w:rPr>
              <w:t>其中：财政拨款</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6DD0">
            <w:pPr>
              <w:widowControl/>
              <w:jc w:val="center"/>
              <w:textAlignment w:val="center"/>
              <w:rPr>
                <w:rFonts w:ascii="宋体" w:hAnsi="宋体" w:cs="宋体"/>
                <w:color w:val="auto"/>
                <w:szCs w:val="21"/>
              </w:rPr>
            </w:pPr>
            <w:r>
              <w:rPr>
                <w:color w:val="auto"/>
                <w:kern w:val="0"/>
                <w:szCs w:val="21"/>
              </w:rPr>
              <w:t>1036</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155CD">
            <w:pPr>
              <w:widowControl/>
              <w:jc w:val="center"/>
              <w:textAlignment w:val="center"/>
              <w:rPr>
                <w:rFonts w:ascii="宋体" w:hAnsi="宋体" w:cs="宋体"/>
                <w:color w:val="auto"/>
                <w:szCs w:val="21"/>
              </w:rPr>
            </w:pPr>
            <w:r>
              <w:rPr>
                <w:color w:val="auto"/>
                <w:kern w:val="0"/>
                <w:szCs w:val="21"/>
              </w:rPr>
              <w:t>1036</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CC15D">
            <w:pPr>
              <w:widowControl/>
              <w:jc w:val="center"/>
              <w:textAlignment w:val="center"/>
              <w:rPr>
                <w:rFonts w:ascii="宋体" w:hAnsi="宋体" w:cs="宋体"/>
                <w:color w:val="auto"/>
                <w:szCs w:val="21"/>
              </w:rPr>
            </w:pPr>
            <w:r>
              <w:rPr>
                <w:color w:val="auto"/>
                <w:kern w:val="0"/>
                <w:szCs w:val="21"/>
              </w:rPr>
              <w:t>769</w:t>
            </w:r>
            <w:r>
              <w:rPr>
                <w:rFonts w:hint="eastAsia" w:ascii="宋体" w:hAnsi="宋体" w:cs="宋体"/>
                <w:color w:val="auto"/>
                <w:kern w:val="0"/>
                <w:szCs w:val="21"/>
              </w:rPr>
              <w:t>.</w:t>
            </w:r>
            <w:r>
              <w:rPr>
                <w:color w:val="auto"/>
                <w:kern w:val="0"/>
                <w:szCs w:val="21"/>
              </w:rPr>
              <w:t>82</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4492">
            <w:pPr>
              <w:widowControl/>
              <w:jc w:val="center"/>
              <w:textAlignment w:val="center"/>
              <w:rPr>
                <w:rFonts w:ascii="Arial" w:hAnsi="Arial" w:cs="Arial"/>
                <w:color w:val="auto"/>
                <w:szCs w:val="21"/>
              </w:rPr>
            </w:pPr>
            <w:r>
              <w:rPr>
                <w:rFonts w:ascii="Arial" w:hAnsi="Arial" w:cs="Arial"/>
                <w:color w:val="auto"/>
                <w:kern w:val="0"/>
                <w:szCs w:val="21"/>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B6245">
            <w:pPr>
              <w:widowControl/>
              <w:jc w:val="center"/>
              <w:textAlignment w:val="center"/>
              <w:rPr>
                <w:color w:val="auto"/>
                <w:szCs w:val="21"/>
              </w:rPr>
            </w:pPr>
            <w:r>
              <w:rPr>
                <w:color w:val="auto"/>
                <w:kern w:val="0"/>
                <w:szCs w:val="21"/>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00B4">
            <w:pPr>
              <w:widowControl/>
              <w:jc w:val="center"/>
              <w:textAlignment w:val="center"/>
              <w:rPr>
                <w:rFonts w:ascii="Arial" w:hAnsi="Arial" w:cs="Arial"/>
                <w:color w:val="auto"/>
                <w:szCs w:val="21"/>
              </w:rPr>
            </w:pPr>
            <w:r>
              <w:rPr>
                <w:rFonts w:ascii="Arial" w:hAnsi="Arial" w:cs="Arial"/>
                <w:color w:val="auto"/>
                <w:kern w:val="0"/>
                <w:szCs w:val="21"/>
              </w:rPr>
              <w:t>——</w:t>
            </w:r>
          </w:p>
        </w:tc>
      </w:tr>
      <w:tr w14:paraId="37341D2B">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BE33D">
            <w:pPr>
              <w:jc w:val="center"/>
              <w:rPr>
                <w:rFonts w:ascii="宋体" w:hAnsi="宋体" w:cs="宋体"/>
                <w:color w:val="auto"/>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1F0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上年</w:t>
            </w:r>
          </w:p>
          <w:p w14:paraId="70C0A631">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结转</w:t>
            </w:r>
          </w:p>
          <w:p w14:paraId="60781D49">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F898">
            <w:pPr>
              <w:jc w:val="center"/>
              <w:rPr>
                <w:rFonts w:ascii="宋体" w:hAnsi="宋体" w:cs="宋体"/>
                <w:color w:val="auto"/>
                <w:szCs w:val="21"/>
              </w:rPr>
            </w:pP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E4C93">
            <w:pPr>
              <w:jc w:val="center"/>
              <w:rPr>
                <w:rFonts w:ascii="宋体" w:hAnsi="宋体" w:cs="宋体"/>
                <w:color w:val="auto"/>
                <w:szCs w:val="21"/>
              </w:rPr>
            </w:pP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0DFE1A">
            <w:pPr>
              <w:jc w:val="center"/>
              <w:rPr>
                <w:rFonts w:ascii="宋体" w:hAnsi="宋体" w:cs="宋体"/>
                <w:color w:val="auto"/>
                <w:szCs w:val="21"/>
              </w:rPr>
            </w:pP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43812">
            <w:pPr>
              <w:widowControl/>
              <w:jc w:val="center"/>
              <w:textAlignment w:val="center"/>
              <w:rPr>
                <w:rFonts w:ascii="Arial" w:hAnsi="Arial" w:cs="Arial"/>
                <w:color w:val="auto"/>
                <w:szCs w:val="21"/>
              </w:rPr>
            </w:pPr>
            <w:r>
              <w:rPr>
                <w:rFonts w:ascii="Arial" w:hAnsi="Arial" w:cs="Arial"/>
                <w:color w:val="auto"/>
                <w:kern w:val="0"/>
                <w:szCs w:val="21"/>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A7623">
            <w:pPr>
              <w:jc w:val="center"/>
              <w:rPr>
                <w:rFonts w:ascii="宋体" w:hAnsi="宋体" w:cs="宋体"/>
                <w:color w:val="auto"/>
                <w:szCs w:val="21"/>
              </w:rPr>
            </w:pP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8C64F">
            <w:pPr>
              <w:widowControl/>
              <w:jc w:val="center"/>
              <w:textAlignment w:val="center"/>
              <w:rPr>
                <w:rFonts w:ascii="Arial" w:hAnsi="Arial" w:cs="Arial"/>
                <w:color w:val="auto"/>
                <w:szCs w:val="21"/>
              </w:rPr>
            </w:pPr>
            <w:r>
              <w:rPr>
                <w:rFonts w:ascii="Arial" w:hAnsi="Arial" w:cs="Arial"/>
                <w:color w:val="auto"/>
                <w:kern w:val="0"/>
                <w:szCs w:val="21"/>
              </w:rPr>
              <w:t>——</w:t>
            </w:r>
          </w:p>
        </w:tc>
      </w:tr>
      <w:tr w14:paraId="3E44E00E">
        <w:tblPrEx>
          <w:tblCellMar>
            <w:top w:w="0" w:type="dxa"/>
            <w:left w:w="28" w:type="dxa"/>
            <w:bottom w:w="0" w:type="dxa"/>
            <w:right w:w="28" w:type="dxa"/>
          </w:tblCellMar>
        </w:tblPrEx>
        <w:trPr>
          <w:trHeight w:val="964"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59302">
            <w:pPr>
              <w:jc w:val="center"/>
              <w:rPr>
                <w:rFonts w:ascii="宋体" w:hAnsi="宋体" w:cs="宋体"/>
                <w:color w:val="auto"/>
                <w:szCs w:val="21"/>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85E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其他</w:t>
            </w:r>
          </w:p>
          <w:p w14:paraId="211D8E95">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2EBA">
            <w:pPr>
              <w:widowControl/>
              <w:jc w:val="center"/>
              <w:textAlignment w:val="center"/>
              <w:rPr>
                <w:color w:val="auto"/>
                <w:szCs w:val="21"/>
              </w:rPr>
            </w:pPr>
            <w:r>
              <w:rPr>
                <w:color w:val="auto"/>
                <w:kern w:val="0"/>
                <w:szCs w:val="21"/>
              </w:rPr>
              <w:t>0</w:t>
            </w:r>
          </w:p>
        </w:tc>
        <w:tc>
          <w:tcPr>
            <w:tcW w:w="1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35472">
            <w:pPr>
              <w:widowControl/>
              <w:jc w:val="center"/>
              <w:textAlignment w:val="center"/>
              <w:rPr>
                <w:color w:val="auto"/>
                <w:szCs w:val="21"/>
              </w:rPr>
            </w:pPr>
            <w:r>
              <w:rPr>
                <w:color w:val="auto"/>
                <w:kern w:val="0"/>
                <w:szCs w:val="21"/>
              </w:rPr>
              <w:t>0</w:t>
            </w:r>
          </w:p>
        </w:tc>
        <w:tc>
          <w:tcPr>
            <w:tcW w:w="1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008D7">
            <w:pPr>
              <w:widowControl/>
              <w:jc w:val="center"/>
              <w:textAlignment w:val="center"/>
              <w:rPr>
                <w:color w:val="auto"/>
                <w:szCs w:val="21"/>
              </w:rPr>
            </w:pPr>
            <w:r>
              <w:rPr>
                <w:color w:val="auto"/>
                <w:kern w:val="0"/>
                <w:szCs w:val="21"/>
              </w:rPr>
              <w:t>0</w:t>
            </w:r>
          </w:p>
        </w:tc>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A0287">
            <w:pPr>
              <w:widowControl/>
              <w:jc w:val="center"/>
              <w:textAlignment w:val="center"/>
              <w:rPr>
                <w:rFonts w:ascii="Arial" w:hAnsi="Arial" w:cs="Arial"/>
                <w:color w:val="auto"/>
                <w:szCs w:val="21"/>
              </w:rPr>
            </w:pPr>
            <w:r>
              <w:rPr>
                <w:rFonts w:ascii="Arial" w:hAnsi="Arial" w:cs="Arial"/>
                <w:color w:val="auto"/>
                <w:kern w:val="0"/>
                <w:szCs w:val="21"/>
              </w:rPr>
              <w:t>——</w:t>
            </w:r>
          </w:p>
        </w:tc>
        <w:tc>
          <w:tcPr>
            <w:tcW w:w="14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6468F">
            <w:pPr>
              <w:widowControl/>
              <w:jc w:val="center"/>
              <w:textAlignment w:val="center"/>
              <w:rPr>
                <w:color w:val="auto"/>
                <w:szCs w:val="21"/>
              </w:rPr>
            </w:pPr>
            <w:r>
              <w:rPr>
                <w:color w:val="auto"/>
                <w:kern w:val="0"/>
                <w:szCs w:val="21"/>
              </w:rPr>
              <w:t>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F69A">
            <w:pPr>
              <w:widowControl/>
              <w:jc w:val="center"/>
              <w:textAlignment w:val="center"/>
              <w:rPr>
                <w:rFonts w:ascii="Arial" w:hAnsi="Arial" w:cs="Arial"/>
                <w:color w:val="auto"/>
                <w:szCs w:val="21"/>
              </w:rPr>
            </w:pPr>
            <w:r>
              <w:rPr>
                <w:rFonts w:ascii="Arial" w:hAnsi="Arial" w:cs="Arial"/>
                <w:color w:val="auto"/>
                <w:kern w:val="0"/>
                <w:szCs w:val="21"/>
              </w:rPr>
              <w:t>——</w:t>
            </w:r>
          </w:p>
        </w:tc>
      </w:tr>
      <w:tr w14:paraId="744B6999">
        <w:tblPrEx>
          <w:tblCellMar>
            <w:top w:w="0" w:type="dxa"/>
            <w:left w:w="28" w:type="dxa"/>
            <w:bottom w:w="0" w:type="dxa"/>
            <w:right w:w="28" w:type="dxa"/>
          </w:tblCellMar>
        </w:tblPrEx>
        <w:trPr>
          <w:trHeight w:val="702" w:hRule="atLeast"/>
          <w:jc w:val="center"/>
        </w:trPr>
        <w:tc>
          <w:tcPr>
            <w:tcW w:w="8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08CD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7A9A3B3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总体</w:t>
            </w:r>
          </w:p>
          <w:p w14:paraId="437DF7CA">
            <w:pPr>
              <w:widowControl/>
              <w:jc w:val="center"/>
              <w:textAlignment w:val="center"/>
              <w:rPr>
                <w:rFonts w:ascii="宋体" w:hAnsi="宋体" w:cs="宋体"/>
                <w:color w:val="auto"/>
                <w:szCs w:val="21"/>
              </w:rPr>
            </w:pPr>
            <w:r>
              <w:rPr>
                <w:rFonts w:hint="eastAsia" w:ascii="宋体" w:hAnsi="宋体" w:cs="宋体"/>
                <w:color w:val="auto"/>
                <w:kern w:val="0"/>
                <w:szCs w:val="21"/>
              </w:rPr>
              <w:t>目标</w:t>
            </w:r>
          </w:p>
        </w:tc>
        <w:tc>
          <w:tcPr>
            <w:tcW w:w="41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5476E">
            <w:pPr>
              <w:widowControl/>
              <w:jc w:val="center"/>
              <w:textAlignment w:val="center"/>
              <w:rPr>
                <w:rFonts w:ascii="宋体" w:hAnsi="宋体" w:cs="宋体"/>
                <w:color w:val="auto"/>
                <w:szCs w:val="21"/>
              </w:rPr>
            </w:pPr>
            <w:r>
              <w:rPr>
                <w:rFonts w:hint="eastAsia" w:ascii="宋体" w:hAnsi="宋体" w:cs="宋体"/>
                <w:color w:val="auto"/>
                <w:kern w:val="0"/>
                <w:szCs w:val="21"/>
              </w:rPr>
              <w:t>预期目标</w:t>
            </w:r>
          </w:p>
        </w:tc>
        <w:tc>
          <w:tcPr>
            <w:tcW w:w="45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F22865">
            <w:pPr>
              <w:widowControl/>
              <w:jc w:val="center"/>
              <w:textAlignment w:val="center"/>
              <w:rPr>
                <w:rFonts w:ascii="宋体" w:hAnsi="宋体" w:cs="宋体"/>
                <w:color w:val="auto"/>
                <w:szCs w:val="21"/>
              </w:rPr>
            </w:pPr>
            <w:r>
              <w:rPr>
                <w:rFonts w:hint="eastAsia" w:ascii="宋体" w:hAnsi="宋体" w:cs="宋体"/>
                <w:color w:val="auto"/>
                <w:kern w:val="0"/>
                <w:szCs w:val="21"/>
              </w:rPr>
              <w:t>实际完成情况</w:t>
            </w:r>
          </w:p>
        </w:tc>
      </w:tr>
      <w:tr w14:paraId="28BDF7A8">
        <w:tblPrEx>
          <w:tblCellMar>
            <w:top w:w="0" w:type="dxa"/>
            <w:left w:w="28" w:type="dxa"/>
            <w:bottom w:w="0" w:type="dxa"/>
            <w:right w:w="28" w:type="dxa"/>
          </w:tblCellMar>
        </w:tblPrEx>
        <w:trPr>
          <w:trHeight w:val="5103" w:hRule="exact"/>
          <w:jc w:val="center"/>
        </w:trPr>
        <w:tc>
          <w:tcPr>
            <w:tcW w:w="8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E8347">
            <w:pPr>
              <w:jc w:val="center"/>
              <w:rPr>
                <w:rFonts w:ascii="宋体" w:hAnsi="宋体" w:cs="宋体"/>
                <w:color w:val="auto"/>
                <w:szCs w:val="21"/>
              </w:rPr>
            </w:pPr>
          </w:p>
        </w:tc>
        <w:tc>
          <w:tcPr>
            <w:tcW w:w="41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BF8B27">
            <w:pPr>
              <w:widowControl/>
              <w:textAlignment w:val="center"/>
              <w:rPr>
                <w:rFonts w:ascii="宋体" w:hAnsi="宋体" w:cs="宋体"/>
                <w:color w:val="auto"/>
                <w:szCs w:val="21"/>
              </w:rPr>
            </w:pPr>
            <w:r>
              <w:rPr>
                <w:rFonts w:hint="eastAsia" w:ascii="宋体" w:hAnsi="宋体" w:cs="宋体"/>
                <w:color w:val="auto"/>
                <w:kern w:val="0"/>
                <w:szCs w:val="21"/>
              </w:rPr>
              <w:t>通过政府采购程序办理公开招标，采购全区在职在编政法专项编制人员检察服装、法警服装，保证服装质量，降低采购成本，按最高检服装管理要求完成年度换装，进一步提高检察人员形象。</w:t>
            </w:r>
          </w:p>
        </w:tc>
        <w:tc>
          <w:tcPr>
            <w:tcW w:w="45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119CB4">
            <w:pPr>
              <w:widowControl/>
              <w:textAlignment w:val="center"/>
              <w:rPr>
                <w:rFonts w:ascii="宋体" w:hAnsi="宋体" w:cs="宋体"/>
                <w:color w:val="auto"/>
                <w:szCs w:val="21"/>
              </w:rPr>
            </w:pPr>
            <w:r>
              <w:rPr>
                <w:rStyle w:val="24"/>
                <w:rFonts w:hint="default" w:ascii="Times New Roman" w:hAnsi="Times New Roman" w:cs="Times New Roman"/>
                <w:color w:val="auto"/>
                <w:sz w:val="21"/>
                <w:szCs w:val="21"/>
              </w:rPr>
              <w:t>2025</w:t>
            </w:r>
            <w:r>
              <w:rPr>
                <w:rStyle w:val="24"/>
                <w:rFonts w:hint="default"/>
                <w:color w:val="auto"/>
                <w:sz w:val="21"/>
                <w:szCs w:val="21"/>
              </w:rPr>
              <w:t>年度，检察系统服装费项目严格贯彻落实最高检服装管理要求，规范高效组织实施政府采购，项目完成情况总体良好。全年实际执行</w:t>
            </w:r>
            <w:r>
              <w:rPr>
                <w:rStyle w:val="24"/>
                <w:rFonts w:hint="default" w:ascii="Times New Roman" w:hAnsi="Times New Roman" w:cs="Times New Roman"/>
                <w:color w:val="auto"/>
                <w:sz w:val="21"/>
                <w:szCs w:val="21"/>
              </w:rPr>
              <w:t>769</w:t>
            </w:r>
            <w:r>
              <w:rPr>
                <w:rStyle w:val="24"/>
                <w:rFonts w:hint="default"/>
                <w:color w:val="auto"/>
                <w:sz w:val="21"/>
                <w:szCs w:val="21"/>
              </w:rPr>
              <w:t>.</w:t>
            </w:r>
            <w:r>
              <w:rPr>
                <w:rStyle w:val="24"/>
                <w:rFonts w:hint="default" w:ascii="Times New Roman" w:hAnsi="Times New Roman" w:cs="Times New Roman"/>
                <w:color w:val="auto"/>
                <w:sz w:val="21"/>
                <w:szCs w:val="21"/>
              </w:rPr>
              <w:t>82</w:t>
            </w:r>
            <w:r>
              <w:rPr>
                <w:rStyle w:val="24"/>
                <w:rFonts w:hint="default"/>
                <w:color w:val="auto"/>
                <w:sz w:val="21"/>
                <w:szCs w:val="21"/>
              </w:rPr>
              <w:t>万元，预算执行率为</w:t>
            </w:r>
            <w:r>
              <w:rPr>
                <w:rStyle w:val="24"/>
                <w:rFonts w:hint="default" w:ascii="Times New Roman" w:hAnsi="Times New Roman" w:cs="Times New Roman"/>
                <w:color w:val="auto"/>
                <w:sz w:val="21"/>
                <w:szCs w:val="21"/>
              </w:rPr>
              <w:t>74</w:t>
            </w:r>
            <w:r>
              <w:rPr>
                <w:rStyle w:val="24"/>
                <w:rFonts w:hint="default"/>
                <w:color w:val="auto"/>
                <w:sz w:val="21"/>
                <w:szCs w:val="21"/>
              </w:rPr>
              <w:t>.</w:t>
            </w:r>
            <w:r>
              <w:rPr>
                <w:rStyle w:val="24"/>
                <w:rFonts w:hint="default" w:ascii="Times New Roman" w:hAnsi="Times New Roman" w:cs="Times New Roman"/>
                <w:color w:val="auto"/>
                <w:sz w:val="21"/>
                <w:szCs w:val="21"/>
              </w:rPr>
              <w:t>31</w:t>
            </w:r>
            <w:r>
              <w:rPr>
                <w:rStyle w:val="24"/>
                <w:rFonts w:hint="default"/>
                <w:color w:val="auto"/>
                <w:sz w:val="21"/>
                <w:szCs w:val="21"/>
              </w:rPr>
              <w:t>%，虽未全额支付，但通过源头控制和优化采购方案，有效节约了财政资金，并将支出严格控制在合同约定范围内。</w:t>
            </w:r>
            <w:r>
              <w:rPr>
                <w:rStyle w:val="25"/>
                <w:rFonts w:hint="default"/>
                <w:color w:val="auto"/>
                <w:sz w:val="21"/>
                <w:szCs w:val="21"/>
              </w:rPr>
              <w:t>产出方面，全面完成春秋季检察服、衬衣及冬季棉服的全部采购配发任务，共计</w:t>
            </w:r>
            <w:r>
              <w:rPr>
                <w:rStyle w:val="25"/>
                <w:rFonts w:hint="default" w:ascii="Times New Roman" w:hAnsi="Times New Roman" w:cs="Times New Roman"/>
                <w:color w:val="auto"/>
                <w:sz w:val="21"/>
                <w:szCs w:val="21"/>
              </w:rPr>
              <w:t>24328</w:t>
            </w:r>
            <w:r>
              <w:rPr>
                <w:rStyle w:val="25"/>
                <w:rFonts w:hint="default"/>
                <w:color w:val="auto"/>
                <w:sz w:val="21"/>
                <w:szCs w:val="21"/>
              </w:rPr>
              <w:t>套/件，着装合体率达</w:t>
            </w:r>
            <w:r>
              <w:rPr>
                <w:rStyle w:val="25"/>
                <w:rFonts w:hint="default" w:ascii="Times New Roman" w:hAnsi="Times New Roman" w:cs="Times New Roman"/>
                <w:color w:val="auto"/>
                <w:sz w:val="21"/>
                <w:szCs w:val="21"/>
              </w:rPr>
              <w:t>90</w:t>
            </w:r>
            <w:r>
              <w:rPr>
                <w:rStyle w:val="25"/>
                <w:rFonts w:hint="default"/>
                <w:color w:val="auto"/>
                <w:sz w:val="21"/>
                <w:szCs w:val="21"/>
              </w:rPr>
              <w:t>%，合同执行合规，所有物资于</w:t>
            </w:r>
            <w:r>
              <w:rPr>
                <w:rStyle w:val="25"/>
                <w:rFonts w:hint="default" w:ascii="Times New Roman" w:hAnsi="Times New Roman" w:cs="Times New Roman"/>
                <w:color w:val="auto"/>
                <w:sz w:val="21"/>
                <w:szCs w:val="21"/>
              </w:rPr>
              <w:t>12</w:t>
            </w:r>
            <w:r>
              <w:rPr>
                <w:rStyle w:val="25"/>
                <w:rFonts w:hint="default"/>
                <w:color w:val="auto"/>
                <w:sz w:val="21"/>
                <w:szCs w:val="21"/>
              </w:rPr>
              <w:t>月份前按时交付，资金支付及时，且单件采购成本均有效控制在预算标准之内。项目的实施显著提升了检察队伍的职业形象与司法公信力，保障了服装配备的年度更新与持续</w:t>
            </w:r>
            <w:r>
              <w:rPr>
                <w:rStyle w:val="24"/>
                <w:rFonts w:hint="default"/>
                <w:color w:val="auto"/>
                <w:sz w:val="21"/>
                <w:szCs w:val="21"/>
              </w:rPr>
              <w:t>使用，着装干警满意度达</w:t>
            </w:r>
            <w:r>
              <w:rPr>
                <w:rStyle w:val="24"/>
                <w:rFonts w:hint="default" w:ascii="Times New Roman" w:hAnsi="Times New Roman" w:cs="Times New Roman"/>
                <w:color w:val="auto"/>
                <w:sz w:val="21"/>
                <w:szCs w:val="21"/>
              </w:rPr>
              <w:t>90</w:t>
            </w:r>
            <w:r>
              <w:rPr>
                <w:rStyle w:val="24"/>
                <w:rFonts w:hint="default"/>
                <w:color w:val="auto"/>
                <w:sz w:val="21"/>
                <w:szCs w:val="21"/>
              </w:rPr>
              <w:t>%，取得了预期的社会效益和管理效益，为实现检察队伍规范化建设提供了有力保障。</w:t>
            </w:r>
          </w:p>
        </w:tc>
      </w:tr>
      <w:tr w14:paraId="21DF2956">
        <w:tblPrEx>
          <w:tblCellMar>
            <w:top w:w="0" w:type="dxa"/>
            <w:left w:w="28" w:type="dxa"/>
            <w:bottom w:w="0" w:type="dxa"/>
            <w:right w:w="28" w:type="dxa"/>
          </w:tblCellMar>
        </w:tblPrEx>
        <w:trPr>
          <w:trHeight w:val="380" w:hRule="atLeast"/>
          <w:jc w:val="center"/>
        </w:trPr>
        <w:tc>
          <w:tcPr>
            <w:tcW w:w="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41DC">
            <w:pPr>
              <w:widowControl/>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50E6">
            <w:pPr>
              <w:widowControl/>
              <w:jc w:val="center"/>
              <w:textAlignment w:val="center"/>
              <w:rPr>
                <w:rFonts w:ascii="宋体" w:hAnsi="宋体" w:cs="宋体"/>
                <w:color w:val="auto"/>
                <w:szCs w:val="21"/>
              </w:rPr>
            </w:pPr>
            <w:r>
              <w:rPr>
                <w:rFonts w:hint="eastAsia" w:ascii="宋体" w:hAnsi="宋体" w:cs="宋体"/>
                <w:color w:val="auto"/>
                <w:kern w:val="0"/>
                <w:szCs w:val="21"/>
              </w:rPr>
              <w:t>一级指标</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8F65">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二级</w:t>
            </w:r>
          </w:p>
          <w:p w14:paraId="0423CF3C">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CAF6">
            <w:pPr>
              <w:widowControl/>
              <w:jc w:val="center"/>
              <w:textAlignment w:val="center"/>
              <w:rPr>
                <w:rFonts w:ascii="宋体" w:hAnsi="宋体" w:cs="宋体"/>
                <w:color w:val="auto"/>
                <w:szCs w:val="21"/>
              </w:rPr>
            </w:pPr>
            <w:r>
              <w:rPr>
                <w:rFonts w:hint="eastAsia" w:ascii="宋体" w:hAnsi="宋体" w:cs="宋体"/>
                <w:color w:val="auto"/>
                <w:kern w:val="0"/>
                <w:szCs w:val="21"/>
              </w:rPr>
              <w:t>三级指标</w:t>
            </w: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F357">
            <w:pPr>
              <w:widowControl/>
              <w:jc w:val="center"/>
              <w:textAlignment w:val="center"/>
              <w:rPr>
                <w:rFonts w:ascii="宋体" w:hAnsi="宋体" w:cs="宋体"/>
                <w:color w:val="auto"/>
                <w:szCs w:val="21"/>
              </w:rPr>
            </w:pPr>
            <w:r>
              <w:rPr>
                <w:rFonts w:hint="eastAsia" w:ascii="宋体" w:hAnsi="宋体" w:cs="宋体"/>
                <w:color w:val="auto"/>
                <w:kern w:val="0"/>
                <w:szCs w:val="21"/>
              </w:rPr>
              <w:t>指标性质</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A0F12">
            <w:pPr>
              <w:widowControl/>
              <w:jc w:val="center"/>
              <w:textAlignment w:val="center"/>
              <w:rPr>
                <w:rFonts w:ascii="宋体" w:hAnsi="宋体" w:cs="宋体"/>
                <w:color w:val="auto"/>
                <w:szCs w:val="21"/>
              </w:rPr>
            </w:pPr>
            <w:r>
              <w:rPr>
                <w:rFonts w:hint="eastAsia" w:ascii="宋体" w:hAnsi="宋体" w:cs="宋体"/>
                <w:color w:val="auto"/>
                <w:kern w:val="0"/>
                <w:szCs w:val="21"/>
              </w:rPr>
              <w:t>指标方向</w:t>
            </w:r>
          </w:p>
        </w:tc>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ACF1">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4C523497">
            <w:pPr>
              <w:widowControl/>
              <w:jc w:val="center"/>
              <w:textAlignment w:val="center"/>
              <w:rPr>
                <w:rFonts w:ascii="宋体" w:hAnsi="宋体" w:cs="宋体"/>
                <w:color w:val="auto"/>
                <w:szCs w:val="21"/>
              </w:rPr>
            </w:pPr>
            <w:r>
              <w:rPr>
                <w:rFonts w:hint="eastAsia" w:ascii="宋体" w:hAnsi="宋体" w:cs="宋体"/>
                <w:color w:val="auto"/>
                <w:kern w:val="0"/>
                <w:szCs w:val="21"/>
              </w:rPr>
              <w:t>指标值</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0F6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实际</w:t>
            </w:r>
          </w:p>
          <w:p w14:paraId="19A75AF8">
            <w:pPr>
              <w:widowControl/>
              <w:jc w:val="center"/>
              <w:textAlignment w:val="center"/>
              <w:rPr>
                <w:rFonts w:ascii="宋体" w:hAnsi="宋体" w:cs="宋体"/>
                <w:color w:val="auto"/>
                <w:szCs w:val="21"/>
              </w:rPr>
            </w:pPr>
            <w:r>
              <w:rPr>
                <w:rFonts w:hint="eastAsia" w:ascii="宋体" w:hAnsi="宋体" w:cs="宋体"/>
                <w:color w:val="auto"/>
                <w:kern w:val="0"/>
                <w:szCs w:val="21"/>
              </w:rPr>
              <w:t>完成值</w:t>
            </w:r>
          </w:p>
        </w:tc>
        <w:tc>
          <w:tcPr>
            <w:tcW w:w="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A40D">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计量</w:t>
            </w:r>
          </w:p>
          <w:p w14:paraId="7EAC6C4D">
            <w:pPr>
              <w:widowControl/>
              <w:jc w:val="center"/>
              <w:textAlignment w:val="center"/>
              <w:rPr>
                <w:rFonts w:ascii="宋体" w:hAnsi="宋体" w:cs="宋体"/>
                <w:color w:val="auto"/>
                <w:szCs w:val="21"/>
              </w:rPr>
            </w:pPr>
            <w:r>
              <w:rPr>
                <w:rFonts w:hint="eastAsia" w:ascii="宋体" w:hAnsi="宋体" w:cs="宋体"/>
                <w:color w:val="auto"/>
                <w:kern w:val="0"/>
                <w:szCs w:val="21"/>
              </w:rPr>
              <w:t>单位</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D6EE">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618D">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D78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偏差原因分析</w:t>
            </w:r>
          </w:p>
          <w:p w14:paraId="1B1AD56D">
            <w:pPr>
              <w:widowControl/>
              <w:jc w:val="center"/>
              <w:textAlignment w:val="center"/>
              <w:rPr>
                <w:rFonts w:ascii="宋体" w:hAnsi="宋体" w:cs="宋体"/>
                <w:color w:val="auto"/>
                <w:szCs w:val="21"/>
              </w:rPr>
            </w:pPr>
            <w:r>
              <w:rPr>
                <w:rFonts w:hint="eastAsia" w:ascii="宋体" w:hAnsi="宋体" w:cs="宋体"/>
                <w:color w:val="auto"/>
                <w:kern w:val="0"/>
                <w:szCs w:val="21"/>
              </w:rPr>
              <w:t>及改进措施</w:t>
            </w:r>
          </w:p>
        </w:tc>
      </w:tr>
      <w:tr w14:paraId="1EF680AD">
        <w:tblPrEx>
          <w:tblCellMar>
            <w:top w:w="0" w:type="dxa"/>
            <w:left w:w="28" w:type="dxa"/>
            <w:bottom w:w="0" w:type="dxa"/>
            <w:right w:w="28" w:type="dxa"/>
          </w:tblCellMar>
        </w:tblPrEx>
        <w:trPr>
          <w:trHeight w:val="1024" w:hRule="atLeast"/>
          <w:jc w:val="center"/>
        </w:trPr>
        <w:tc>
          <w:tcPr>
            <w:tcW w:w="419" w:type="dxa"/>
            <w:vMerge w:val="restart"/>
            <w:tcBorders>
              <w:top w:val="single" w:color="000000" w:sz="4" w:space="0"/>
              <w:left w:val="single" w:color="000000" w:sz="4" w:space="0"/>
              <w:bottom w:val="nil"/>
              <w:right w:val="single" w:color="000000" w:sz="4" w:space="0"/>
            </w:tcBorders>
            <w:shd w:val="clear" w:color="auto" w:fill="auto"/>
            <w:vAlign w:val="center"/>
          </w:tcPr>
          <w:p w14:paraId="7E203EB2">
            <w:pPr>
              <w:widowControl/>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435" w:type="dxa"/>
            <w:vMerge w:val="restart"/>
            <w:tcBorders>
              <w:top w:val="single" w:color="000000" w:sz="4" w:space="0"/>
              <w:left w:val="single" w:color="000000" w:sz="4" w:space="0"/>
              <w:bottom w:val="nil"/>
              <w:right w:val="single" w:color="000000" w:sz="4" w:space="0"/>
            </w:tcBorders>
            <w:shd w:val="clear" w:color="auto" w:fill="auto"/>
            <w:vAlign w:val="center"/>
          </w:tcPr>
          <w:p w14:paraId="0356C165">
            <w:pPr>
              <w:widowControl/>
              <w:jc w:val="center"/>
              <w:textAlignment w:val="center"/>
              <w:rPr>
                <w:rFonts w:ascii="宋体" w:hAnsi="宋体" w:cs="宋体"/>
                <w:color w:val="auto"/>
                <w:szCs w:val="21"/>
              </w:rPr>
            </w:pPr>
            <w:r>
              <w:rPr>
                <w:rFonts w:hint="eastAsia" w:ascii="宋体" w:hAnsi="宋体" w:cs="宋体"/>
                <w:color w:val="auto"/>
                <w:kern w:val="0"/>
                <w:szCs w:val="21"/>
              </w:rPr>
              <w:t>产出指标</w:t>
            </w: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7DB44CAF">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数量</w:t>
            </w:r>
          </w:p>
          <w:p w14:paraId="1CE10A58">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7E1CB838">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购置春秋季检察</w:t>
            </w:r>
          </w:p>
          <w:p w14:paraId="7CF18B55">
            <w:pPr>
              <w:widowControl/>
              <w:jc w:val="center"/>
              <w:textAlignment w:val="center"/>
              <w:rPr>
                <w:rFonts w:ascii="宋体" w:hAnsi="宋体" w:cs="宋体"/>
                <w:color w:val="auto"/>
                <w:szCs w:val="21"/>
              </w:rPr>
            </w:pPr>
            <w:r>
              <w:rPr>
                <w:rFonts w:hint="eastAsia" w:ascii="宋体" w:hAnsi="宋体" w:cs="宋体"/>
                <w:color w:val="auto"/>
                <w:kern w:val="0"/>
                <w:szCs w:val="21"/>
              </w:rPr>
              <w:t>服装数量</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173395B0">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508529FC">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5D92913A">
            <w:pPr>
              <w:widowControl/>
              <w:jc w:val="center"/>
              <w:textAlignment w:val="center"/>
              <w:rPr>
                <w:rFonts w:ascii="宋体" w:hAnsi="宋体" w:cs="宋体"/>
                <w:color w:val="auto"/>
                <w:szCs w:val="21"/>
              </w:rPr>
            </w:pPr>
            <w:r>
              <w:rPr>
                <w:color w:val="auto"/>
                <w:kern w:val="0"/>
                <w:szCs w:val="21"/>
              </w:rPr>
              <w:t>6000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2EF0E2F1">
            <w:pPr>
              <w:widowControl/>
              <w:jc w:val="center"/>
              <w:textAlignment w:val="center"/>
              <w:rPr>
                <w:rFonts w:ascii="宋体" w:hAnsi="宋体" w:cs="宋体"/>
                <w:color w:val="auto"/>
                <w:szCs w:val="21"/>
              </w:rPr>
            </w:pPr>
            <w:r>
              <w:rPr>
                <w:color w:val="auto"/>
                <w:kern w:val="0"/>
                <w:szCs w:val="21"/>
              </w:rPr>
              <w:t>8106</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57C532F2">
            <w:pPr>
              <w:widowControl/>
              <w:jc w:val="center"/>
              <w:textAlignment w:val="center"/>
              <w:rPr>
                <w:rFonts w:ascii="宋体" w:hAnsi="宋体" w:cs="宋体"/>
                <w:color w:val="auto"/>
                <w:szCs w:val="21"/>
              </w:rPr>
            </w:pPr>
            <w:r>
              <w:rPr>
                <w:rFonts w:hint="eastAsia" w:ascii="宋体" w:hAnsi="宋体" w:cs="宋体"/>
                <w:color w:val="auto"/>
                <w:kern w:val="0"/>
                <w:szCs w:val="21"/>
              </w:rPr>
              <w:t>套</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703C327F">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0205040">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65DF7CCE">
            <w:pPr>
              <w:widowControl/>
              <w:jc w:val="center"/>
              <w:textAlignment w:val="center"/>
              <w:rPr>
                <w:rFonts w:ascii="宋体" w:hAnsi="宋体" w:cs="宋体"/>
                <w:color w:val="auto"/>
                <w:szCs w:val="21"/>
              </w:rPr>
            </w:pPr>
          </w:p>
        </w:tc>
      </w:tr>
      <w:tr w14:paraId="7404279E">
        <w:tblPrEx>
          <w:tblCellMar>
            <w:top w:w="0" w:type="dxa"/>
            <w:left w:w="28" w:type="dxa"/>
            <w:bottom w:w="0" w:type="dxa"/>
            <w:right w:w="28" w:type="dxa"/>
          </w:tblCellMar>
        </w:tblPrEx>
        <w:trPr>
          <w:trHeight w:val="702"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61EB6D9E">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54C59F8D">
            <w:pPr>
              <w:jc w:val="center"/>
              <w:rPr>
                <w:rFonts w:ascii="宋体" w:hAnsi="宋体" w:cs="宋体"/>
                <w:color w:val="auto"/>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5304599B">
            <w:pPr>
              <w:jc w:val="center"/>
              <w:rPr>
                <w:rFonts w:ascii="宋体" w:hAnsi="宋体" w:cs="宋体"/>
                <w:color w:val="auto"/>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780952DC">
            <w:pPr>
              <w:widowControl/>
              <w:jc w:val="center"/>
              <w:textAlignment w:val="center"/>
              <w:rPr>
                <w:rFonts w:ascii="宋体" w:hAnsi="宋体" w:cs="宋体"/>
                <w:color w:val="auto"/>
                <w:szCs w:val="21"/>
              </w:rPr>
            </w:pPr>
            <w:r>
              <w:rPr>
                <w:rFonts w:hint="eastAsia" w:ascii="宋体" w:hAnsi="宋体" w:cs="宋体"/>
                <w:color w:val="auto"/>
                <w:kern w:val="0"/>
                <w:szCs w:val="21"/>
              </w:rPr>
              <w:t>购置衬衣数量</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D2C1AF8">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58D47616">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423947A4">
            <w:pPr>
              <w:widowControl/>
              <w:jc w:val="center"/>
              <w:textAlignment w:val="center"/>
              <w:rPr>
                <w:rFonts w:ascii="宋体" w:hAnsi="宋体" w:cs="宋体"/>
                <w:color w:val="auto"/>
                <w:szCs w:val="21"/>
              </w:rPr>
            </w:pPr>
            <w:r>
              <w:rPr>
                <w:color w:val="auto"/>
                <w:kern w:val="0"/>
                <w:szCs w:val="21"/>
              </w:rPr>
              <w:t>6000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714F42E8">
            <w:pPr>
              <w:widowControl/>
              <w:jc w:val="center"/>
              <w:textAlignment w:val="center"/>
              <w:rPr>
                <w:rFonts w:ascii="宋体" w:hAnsi="宋体" w:cs="宋体"/>
                <w:color w:val="auto"/>
                <w:szCs w:val="21"/>
              </w:rPr>
            </w:pPr>
            <w:r>
              <w:rPr>
                <w:color w:val="auto"/>
                <w:kern w:val="0"/>
                <w:szCs w:val="21"/>
              </w:rPr>
              <w:t>8116</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EB1CD7E">
            <w:pPr>
              <w:widowControl/>
              <w:jc w:val="center"/>
              <w:textAlignment w:val="center"/>
              <w:rPr>
                <w:rFonts w:ascii="宋体" w:hAnsi="宋体" w:cs="宋体"/>
                <w:color w:val="auto"/>
                <w:szCs w:val="21"/>
              </w:rPr>
            </w:pPr>
            <w:r>
              <w:rPr>
                <w:rFonts w:hint="eastAsia" w:ascii="宋体" w:hAnsi="宋体" w:cs="宋体"/>
                <w:color w:val="auto"/>
                <w:kern w:val="0"/>
                <w:szCs w:val="21"/>
              </w:rPr>
              <w:t>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65088591">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2719EF7A">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3DD98098">
            <w:pPr>
              <w:widowControl/>
              <w:jc w:val="center"/>
              <w:textAlignment w:val="center"/>
              <w:rPr>
                <w:rFonts w:ascii="宋体" w:hAnsi="宋体" w:cs="宋体"/>
                <w:color w:val="auto"/>
                <w:szCs w:val="21"/>
              </w:rPr>
            </w:pPr>
          </w:p>
        </w:tc>
      </w:tr>
      <w:tr w14:paraId="1735EA8E">
        <w:tblPrEx>
          <w:tblCellMar>
            <w:top w:w="0" w:type="dxa"/>
            <w:left w:w="28" w:type="dxa"/>
            <w:bottom w:w="0" w:type="dxa"/>
            <w:right w:w="28" w:type="dxa"/>
          </w:tblCellMar>
        </w:tblPrEx>
        <w:trPr>
          <w:trHeight w:val="970"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4415E68D">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3BB037D1">
            <w:pPr>
              <w:jc w:val="center"/>
              <w:rPr>
                <w:rFonts w:ascii="宋体" w:hAnsi="宋体" w:cs="宋体"/>
                <w:color w:val="auto"/>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2175B2D9">
            <w:pPr>
              <w:jc w:val="center"/>
              <w:rPr>
                <w:rFonts w:ascii="宋体" w:hAnsi="宋体" w:cs="宋体"/>
                <w:color w:val="auto"/>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613DDCE3">
            <w:pPr>
              <w:widowControl/>
              <w:jc w:val="center"/>
              <w:textAlignment w:val="center"/>
              <w:rPr>
                <w:rFonts w:ascii="宋体" w:hAnsi="宋体" w:cs="宋体"/>
                <w:color w:val="auto"/>
                <w:szCs w:val="21"/>
              </w:rPr>
            </w:pPr>
            <w:r>
              <w:rPr>
                <w:rFonts w:hint="eastAsia" w:ascii="宋体" w:hAnsi="宋体" w:cs="宋体"/>
                <w:color w:val="auto"/>
                <w:kern w:val="0"/>
                <w:szCs w:val="21"/>
              </w:rPr>
              <w:t>购置冬季检察棉服数量</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12AC3179">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3D061626">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2EA506CD">
            <w:pPr>
              <w:widowControl/>
              <w:jc w:val="center"/>
              <w:textAlignment w:val="center"/>
              <w:rPr>
                <w:rFonts w:ascii="宋体" w:hAnsi="宋体" w:cs="宋体"/>
                <w:color w:val="auto"/>
                <w:szCs w:val="21"/>
              </w:rPr>
            </w:pPr>
            <w:r>
              <w:rPr>
                <w:color w:val="auto"/>
                <w:kern w:val="0"/>
                <w:szCs w:val="21"/>
              </w:rPr>
              <w:t>5000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18187685">
            <w:pPr>
              <w:widowControl/>
              <w:jc w:val="center"/>
              <w:textAlignment w:val="center"/>
              <w:rPr>
                <w:rFonts w:ascii="宋体" w:hAnsi="宋体" w:cs="宋体"/>
                <w:color w:val="auto"/>
                <w:szCs w:val="21"/>
              </w:rPr>
            </w:pPr>
            <w:r>
              <w:rPr>
                <w:color w:val="auto"/>
                <w:kern w:val="0"/>
                <w:szCs w:val="21"/>
              </w:rPr>
              <w:t>8106</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0B4BC7B6">
            <w:pPr>
              <w:widowControl/>
              <w:jc w:val="center"/>
              <w:textAlignment w:val="center"/>
              <w:rPr>
                <w:rFonts w:ascii="宋体" w:hAnsi="宋体" w:cs="宋体"/>
                <w:color w:val="auto"/>
                <w:szCs w:val="21"/>
              </w:rPr>
            </w:pPr>
            <w:r>
              <w:rPr>
                <w:rFonts w:hint="eastAsia" w:ascii="宋体" w:hAnsi="宋体" w:cs="宋体"/>
                <w:color w:val="auto"/>
                <w:kern w:val="0"/>
                <w:szCs w:val="21"/>
              </w:rPr>
              <w:t>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2E8C6FCB">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754FFB6">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020BC86A">
            <w:pPr>
              <w:widowControl/>
              <w:jc w:val="center"/>
              <w:textAlignment w:val="center"/>
              <w:rPr>
                <w:rFonts w:ascii="宋体" w:hAnsi="宋体" w:cs="宋体"/>
                <w:color w:val="auto"/>
                <w:szCs w:val="21"/>
              </w:rPr>
            </w:pPr>
          </w:p>
        </w:tc>
      </w:tr>
      <w:tr w14:paraId="64878675">
        <w:tblPrEx>
          <w:tblCellMar>
            <w:top w:w="0" w:type="dxa"/>
            <w:left w:w="28" w:type="dxa"/>
            <w:bottom w:w="0" w:type="dxa"/>
            <w:right w:w="28" w:type="dxa"/>
          </w:tblCellMar>
        </w:tblPrEx>
        <w:trPr>
          <w:trHeight w:val="716"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678E2AC">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5D73DD43">
            <w:pPr>
              <w:jc w:val="center"/>
              <w:rPr>
                <w:rFonts w:ascii="宋体" w:hAnsi="宋体" w:cs="宋体"/>
                <w:color w:val="auto"/>
                <w:szCs w:val="21"/>
              </w:rPr>
            </w:pP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0BD1FF5C">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质量</w:t>
            </w:r>
          </w:p>
          <w:p w14:paraId="237D87FD">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6165FA41">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着装</w:t>
            </w:r>
          </w:p>
          <w:p w14:paraId="2CCAA988">
            <w:pPr>
              <w:widowControl/>
              <w:jc w:val="center"/>
              <w:textAlignment w:val="center"/>
              <w:rPr>
                <w:rFonts w:ascii="宋体" w:hAnsi="宋体" w:cs="宋体"/>
                <w:color w:val="auto"/>
                <w:szCs w:val="21"/>
              </w:rPr>
            </w:pPr>
            <w:r>
              <w:rPr>
                <w:rFonts w:hint="eastAsia" w:ascii="宋体" w:hAnsi="宋体" w:cs="宋体"/>
                <w:color w:val="auto"/>
                <w:kern w:val="0"/>
                <w:szCs w:val="21"/>
              </w:rPr>
              <w:t>合体率</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94E53D6">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5CE0F85F">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08E05113">
            <w:pPr>
              <w:widowControl/>
              <w:jc w:val="center"/>
              <w:textAlignment w:val="center"/>
              <w:rPr>
                <w:rFonts w:ascii="宋体" w:hAnsi="宋体" w:cs="宋体"/>
                <w:color w:val="auto"/>
                <w:szCs w:val="21"/>
              </w:rPr>
            </w:pPr>
            <w:r>
              <w:rPr>
                <w:color w:val="auto"/>
                <w:kern w:val="0"/>
                <w:szCs w:val="21"/>
              </w:rPr>
              <w:t>90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5B792AD8">
            <w:pPr>
              <w:widowControl/>
              <w:jc w:val="center"/>
              <w:textAlignment w:val="center"/>
              <w:rPr>
                <w:rFonts w:hint="eastAsia" w:ascii="宋体" w:hAnsi="宋体" w:eastAsia="宋体" w:cs="宋体"/>
                <w:color w:val="auto"/>
                <w:szCs w:val="21"/>
                <w:lang w:val="en-US" w:eastAsia="zh-CN"/>
              </w:rPr>
            </w:pPr>
            <w:r>
              <w:rPr>
                <w:color w:val="auto"/>
                <w:kern w:val="0"/>
                <w:szCs w:val="21"/>
              </w:rPr>
              <w:t>9</w:t>
            </w:r>
            <w:r>
              <w:rPr>
                <w:rFonts w:hint="eastAsia"/>
                <w:color w:val="auto"/>
                <w:kern w:val="0"/>
                <w:szCs w:val="21"/>
                <w:lang w:val="en-US" w:eastAsia="zh-CN"/>
              </w:rPr>
              <w:t>9</w:t>
            </w:r>
            <w:bookmarkStart w:id="0" w:name="_GoBack"/>
            <w:bookmarkEnd w:id="0"/>
          </w:p>
        </w:tc>
        <w:tc>
          <w:tcPr>
            <w:tcW w:w="807" w:type="dxa"/>
            <w:tcBorders>
              <w:top w:val="single" w:color="000000" w:sz="4" w:space="0"/>
              <w:left w:val="single" w:color="000000" w:sz="4" w:space="0"/>
              <w:bottom w:val="nil"/>
              <w:right w:val="single" w:color="000000" w:sz="4" w:space="0"/>
            </w:tcBorders>
            <w:shd w:val="clear" w:color="auto" w:fill="auto"/>
            <w:vAlign w:val="center"/>
          </w:tcPr>
          <w:p w14:paraId="0822AD49">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4A86AA4A">
            <w:pPr>
              <w:widowControl/>
              <w:jc w:val="center"/>
              <w:textAlignment w:val="center"/>
              <w:rPr>
                <w:rFonts w:ascii="宋体" w:hAnsi="宋体" w:cs="宋体"/>
                <w:color w:val="auto"/>
                <w:szCs w:val="21"/>
              </w:rPr>
            </w:pPr>
            <w:r>
              <w:rPr>
                <w:color w:val="auto"/>
                <w:kern w:val="0"/>
                <w:szCs w:val="21"/>
              </w:rPr>
              <w:t>10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4B08777E">
            <w:pPr>
              <w:widowControl/>
              <w:jc w:val="center"/>
              <w:textAlignment w:val="center"/>
              <w:rPr>
                <w:rFonts w:ascii="宋体" w:hAnsi="宋体" w:cs="宋体"/>
                <w:color w:val="auto"/>
                <w:szCs w:val="21"/>
              </w:rPr>
            </w:pPr>
            <w:r>
              <w:rPr>
                <w:color w:val="auto"/>
                <w:kern w:val="0"/>
                <w:szCs w:val="21"/>
              </w:rPr>
              <w:t>10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107E3CB">
            <w:pPr>
              <w:jc w:val="center"/>
              <w:rPr>
                <w:rFonts w:ascii="宋体" w:hAnsi="宋体" w:cs="宋体"/>
                <w:color w:val="auto"/>
                <w:szCs w:val="21"/>
              </w:rPr>
            </w:pPr>
          </w:p>
        </w:tc>
      </w:tr>
      <w:tr w14:paraId="0B250547">
        <w:tblPrEx>
          <w:tblCellMar>
            <w:top w:w="0" w:type="dxa"/>
            <w:left w:w="28" w:type="dxa"/>
            <w:bottom w:w="0" w:type="dxa"/>
            <w:right w:w="28" w:type="dxa"/>
          </w:tblCellMar>
        </w:tblPrEx>
        <w:trPr>
          <w:trHeight w:val="1023"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DDA6AF5">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2AFC287B">
            <w:pPr>
              <w:jc w:val="center"/>
              <w:rPr>
                <w:rFonts w:ascii="宋体" w:hAnsi="宋体" w:cs="宋体"/>
                <w:color w:val="auto"/>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20C30D06">
            <w:pPr>
              <w:jc w:val="center"/>
              <w:rPr>
                <w:rFonts w:ascii="宋体" w:hAnsi="宋体" w:cs="宋体"/>
                <w:color w:val="auto"/>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48C35497">
            <w:pPr>
              <w:widowControl/>
              <w:jc w:val="center"/>
              <w:textAlignment w:val="center"/>
              <w:rPr>
                <w:rFonts w:ascii="宋体" w:hAnsi="宋体" w:cs="宋体"/>
                <w:color w:val="auto"/>
                <w:szCs w:val="21"/>
              </w:rPr>
            </w:pPr>
            <w:r>
              <w:rPr>
                <w:rFonts w:hint="eastAsia" w:ascii="宋体" w:hAnsi="宋体" w:cs="宋体"/>
                <w:color w:val="auto"/>
                <w:kern w:val="0"/>
                <w:szCs w:val="21"/>
              </w:rPr>
              <w:t>购置合同执行违规率</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BE7E56A">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5F758507">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10715065">
            <w:pPr>
              <w:widowControl/>
              <w:jc w:val="center"/>
              <w:textAlignment w:val="center"/>
              <w:rPr>
                <w:color w:val="auto"/>
                <w:szCs w:val="21"/>
              </w:rPr>
            </w:pPr>
            <w:r>
              <w:rPr>
                <w:color w:val="auto"/>
                <w:kern w:val="0"/>
                <w:szCs w:val="21"/>
              </w:rPr>
              <w:t>5</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7C85F706">
            <w:pPr>
              <w:widowControl/>
              <w:jc w:val="center"/>
              <w:textAlignment w:val="center"/>
              <w:rPr>
                <w:color w:val="auto"/>
                <w:szCs w:val="21"/>
              </w:rPr>
            </w:pPr>
            <w:r>
              <w:rPr>
                <w:color w:val="auto"/>
                <w:kern w:val="0"/>
                <w:szCs w:val="21"/>
              </w:rPr>
              <w:t>0</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2A99CF06">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52811738">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206E8570">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380D1B43">
            <w:pPr>
              <w:widowControl/>
              <w:jc w:val="center"/>
              <w:textAlignment w:val="center"/>
              <w:rPr>
                <w:rFonts w:ascii="宋体" w:hAnsi="宋体" w:cs="宋体"/>
                <w:color w:val="auto"/>
                <w:szCs w:val="21"/>
              </w:rPr>
            </w:pPr>
          </w:p>
        </w:tc>
      </w:tr>
      <w:tr w14:paraId="35A364A3">
        <w:tblPrEx>
          <w:tblCellMar>
            <w:top w:w="0" w:type="dxa"/>
            <w:left w:w="28" w:type="dxa"/>
            <w:bottom w:w="0" w:type="dxa"/>
            <w:right w:w="28" w:type="dxa"/>
          </w:tblCellMar>
        </w:tblPrEx>
        <w:trPr>
          <w:trHeight w:val="702"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C25FC06">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58261DBE">
            <w:pPr>
              <w:jc w:val="center"/>
              <w:rPr>
                <w:rFonts w:ascii="宋体" w:hAnsi="宋体" w:cs="宋体"/>
                <w:color w:val="auto"/>
                <w:szCs w:val="21"/>
              </w:rPr>
            </w:pP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7D8A28BD">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时效</w:t>
            </w:r>
          </w:p>
          <w:p w14:paraId="73C338A4">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512D9608">
            <w:pPr>
              <w:widowControl/>
              <w:jc w:val="center"/>
              <w:textAlignment w:val="center"/>
              <w:rPr>
                <w:rFonts w:ascii="宋体" w:hAnsi="宋体" w:cs="宋体"/>
                <w:color w:val="auto"/>
                <w:szCs w:val="21"/>
              </w:rPr>
            </w:pPr>
            <w:r>
              <w:rPr>
                <w:rFonts w:hint="eastAsia" w:ascii="宋体" w:hAnsi="宋体" w:cs="宋体"/>
                <w:color w:val="auto"/>
                <w:kern w:val="0"/>
                <w:szCs w:val="21"/>
              </w:rPr>
              <w:t>着装购置完成时间</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9BDC65E">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6035E908">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345A42FD">
            <w:pPr>
              <w:widowControl/>
              <w:jc w:val="center"/>
              <w:textAlignment w:val="center"/>
              <w:rPr>
                <w:rFonts w:ascii="宋体" w:hAnsi="宋体" w:cs="宋体"/>
                <w:color w:val="auto"/>
                <w:szCs w:val="21"/>
              </w:rPr>
            </w:pPr>
            <w:r>
              <w:rPr>
                <w:color w:val="auto"/>
                <w:kern w:val="0"/>
                <w:szCs w:val="21"/>
              </w:rPr>
              <w:t>12</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7872DB48">
            <w:pPr>
              <w:widowControl/>
              <w:jc w:val="center"/>
              <w:textAlignment w:val="center"/>
              <w:rPr>
                <w:rFonts w:ascii="宋体" w:hAnsi="宋体" w:cs="宋体"/>
                <w:color w:val="auto"/>
                <w:szCs w:val="21"/>
              </w:rPr>
            </w:pPr>
            <w:r>
              <w:rPr>
                <w:color w:val="auto"/>
                <w:kern w:val="0"/>
                <w:szCs w:val="21"/>
              </w:rPr>
              <w:t>12</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5DBD7FFB">
            <w:pPr>
              <w:widowControl/>
              <w:jc w:val="center"/>
              <w:textAlignment w:val="center"/>
              <w:rPr>
                <w:rFonts w:ascii="宋体" w:hAnsi="宋体" w:cs="宋体"/>
                <w:color w:val="auto"/>
                <w:szCs w:val="21"/>
              </w:rPr>
            </w:pPr>
            <w:r>
              <w:rPr>
                <w:rFonts w:hint="eastAsia" w:ascii="宋体" w:hAnsi="宋体" w:cs="宋体"/>
                <w:color w:val="auto"/>
                <w:kern w:val="0"/>
                <w:szCs w:val="21"/>
              </w:rPr>
              <w:t>月份</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7A44CAEE">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5CC06C83">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6D650C37">
            <w:pPr>
              <w:jc w:val="center"/>
              <w:rPr>
                <w:rFonts w:ascii="宋体" w:hAnsi="宋体" w:cs="宋体"/>
                <w:color w:val="auto"/>
                <w:szCs w:val="21"/>
              </w:rPr>
            </w:pPr>
          </w:p>
        </w:tc>
      </w:tr>
      <w:tr w14:paraId="1B670E80">
        <w:tblPrEx>
          <w:tblCellMar>
            <w:top w:w="0" w:type="dxa"/>
            <w:left w:w="28" w:type="dxa"/>
            <w:bottom w:w="0" w:type="dxa"/>
            <w:right w:w="28" w:type="dxa"/>
          </w:tblCellMar>
        </w:tblPrEx>
        <w:trPr>
          <w:trHeight w:val="744"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6B6E9B76">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4ABAD821">
            <w:pPr>
              <w:jc w:val="center"/>
              <w:rPr>
                <w:rFonts w:ascii="宋体" w:hAnsi="宋体" w:cs="宋体"/>
                <w:color w:val="auto"/>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1B4F1725">
            <w:pPr>
              <w:jc w:val="center"/>
              <w:rPr>
                <w:rFonts w:ascii="宋体" w:hAnsi="宋体" w:cs="宋体"/>
                <w:color w:val="auto"/>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63476CA1">
            <w:pPr>
              <w:widowControl/>
              <w:jc w:val="center"/>
              <w:textAlignment w:val="center"/>
              <w:rPr>
                <w:rFonts w:ascii="宋体" w:hAnsi="宋体" w:cs="宋体"/>
                <w:color w:val="auto"/>
                <w:szCs w:val="21"/>
              </w:rPr>
            </w:pPr>
            <w:r>
              <w:rPr>
                <w:rFonts w:hint="eastAsia" w:ascii="宋体" w:hAnsi="宋体" w:cs="宋体"/>
                <w:color w:val="auto"/>
                <w:kern w:val="0"/>
                <w:szCs w:val="21"/>
              </w:rPr>
              <w:t>资金支付及时性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14BE4768">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193195FB">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7D29D29B">
            <w:pPr>
              <w:widowControl/>
              <w:jc w:val="center"/>
              <w:textAlignment w:val="center"/>
              <w:rPr>
                <w:rFonts w:ascii="宋体" w:hAnsi="宋体" w:cs="宋体"/>
                <w:color w:val="auto"/>
                <w:szCs w:val="21"/>
              </w:rPr>
            </w:pPr>
            <w:r>
              <w:rPr>
                <w:color w:val="auto"/>
                <w:kern w:val="0"/>
                <w:szCs w:val="21"/>
              </w:rPr>
              <w:t>10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27863C91">
            <w:pPr>
              <w:widowControl/>
              <w:jc w:val="center"/>
              <w:textAlignment w:val="center"/>
              <w:rPr>
                <w:rFonts w:ascii="宋体" w:hAnsi="宋体" w:cs="宋体"/>
                <w:color w:val="auto"/>
                <w:szCs w:val="21"/>
              </w:rPr>
            </w:pPr>
            <w:r>
              <w:rPr>
                <w:color w:val="auto"/>
                <w:kern w:val="0"/>
                <w:szCs w:val="21"/>
              </w:rPr>
              <w:t>10</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4D12FC77">
            <w:pPr>
              <w:widowControl/>
              <w:jc w:val="center"/>
              <w:textAlignment w:val="center"/>
              <w:rPr>
                <w:rFonts w:ascii="宋体" w:hAnsi="宋体" w:cs="宋体"/>
                <w:color w:val="auto"/>
                <w:szCs w:val="21"/>
              </w:rPr>
            </w:pPr>
            <w:r>
              <w:rPr>
                <w:rFonts w:hint="eastAsia" w:ascii="宋体" w:hAnsi="宋体" w:cs="宋体"/>
                <w:color w:val="auto"/>
                <w:kern w:val="0"/>
                <w:szCs w:val="21"/>
              </w:rPr>
              <w:t>工作日</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2B68E16C">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07C91D3C">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4EBA3FD3">
            <w:pPr>
              <w:jc w:val="center"/>
              <w:rPr>
                <w:rFonts w:ascii="宋体" w:hAnsi="宋体" w:cs="宋体"/>
                <w:color w:val="auto"/>
                <w:szCs w:val="21"/>
              </w:rPr>
            </w:pPr>
          </w:p>
        </w:tc>
      </w:tr>
      <w:tr w14:paraId="6F512BF8">
        <w:tblPrEx>
          <w:tblCellMar>
            <w:top w:w="0" w:type="dxa"/>
            <w:left w:w="28" w:type="dxa"/>
            <w:bottom w:w="0" w:type="dxa"/>
            <w:right w:w="28" w:type="dxa"/>
          </w:tblCellMar>
        </w:tblPrEx>
        <w:trPr>
          <w:trHeight w:val="814"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2D858B8">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57E06811">
            <w:pPr>
              <w:jc w:val="center"/>
              <w:rPr>
                <w:rFonts w:ascii="宋体" w:hAnsi="宋体" w:cs="宋体"/>
                <w:color w:val="auto"/>
                <w:szCs w:val="21"/>
              </w:rPr>
            </w:pPr>
          </w:p>
        </w:tc>
        <w:tc>
          <w:tcPr>
            <w:tcW w:w="728" w:type="dxa"/>
            <w:vMerge w:val="restart"/>
            <w:tcBorders>
              <w:top w:val="single" w:color="000000" w:sz="4" w:space="0"/>
              <w:left w:val="single" w:color="000000" w:sz="4" w:space="0"/>
              <w:bottom w:val="nil"/>
              <w:right w:val="single" w:color="000000" w:sz="4" w:space="0"/>
            </w:tcBorders>
            <w:shd w:val="clear" w:color="auto" w:fill="auto"/>
            <w:vAlign w:val="center"/>
          </w:tcPr>
          <w:p w14:paraId="1EE4C176">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成本</w:t>
            </w:r>
          </w:p>
          <w:p w14:paraId="142390B5">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394A8EC5">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检察服</w:t>
            </w:r>
          </w:p>
          <w:p w14:paraId="1614CBDD">
            <w:pPr>
              <w:widowControl/>
              <w:jc w:val="center"/>
              <w:textAlignment w:val="center"/>
              <w:rPr>
                <w:rFonts w:ascii="宋体" w:hAnsi="宋体" w:cs="宋体"/>
                <w:color w:val="auto"/>
                <w:szCs w:val="21"/>
              </w:rPr>
            </w:pPr>
            <w:r>
              <w:rPr>
                <w:rFonts w:hint="eastAsia" w:ascii="宋体" w:hAnsi="宋体" w:cs="宋体"/>
                <w:color w:val="auto"/>
                <w:kern w:val="0"/>
                <w:szCs w:val="21"/>
              </w:rPr>
              <w:t>采购成本</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1022AB1B">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5FA21AF2">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4901C557">
            <w:pPr>
              <w:widowControl/>
              <w:jc w:val="center"/>
              <w:textAlignment w:val="center"/>
              <w:rPr>
                <w:rFonts w:ascii="宋体" w:hAnsi="宋体" w:cs="宋体"/>
                <w:color w:val="auto"/>
                <w:szCs w:val="21"/>
              </w:rPr>
            </w:pPr>
            <w:r>
              <w:rPr>
                <w:color w:val="auto"/>
                <w:kern w:val="0"/>
                <w:szCs w:val="21"/>
              </w:rPr>
              <w:t>700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4551740F">
            <w:pPr>
              <w:widowControl/>
              <w:jc w:val="center"/>
              <w:textAlignment w:val="center"/>
              <w:rPr>
                <w:rFonts w:ascii="宋体" w:hAnsi="宋体" w:cs="宋体"/>
                <w:color w:val="auto"/>
                <w:szCs w:val="21"/>
              </w:rPr>
            </w:pPr>
            <w:r>
              <w:rPr>
                <w:color w:val="auto"/>
                <w:kern w:val="0"/>
                <w:szCs w:val="21"/>
              </w:rPr>
              <w:t>321</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5058EEA8">
            <w:pPr>
              <w:widowControl/>
              <w:jc w:val="center"/>
              <w:textAlignment w:val="center"/>
              <w:rPr>
                <w:rFonts w:ascii="宋体" w:hAnsi="宋体" w:cs="宋体"/>
                <w:color w:val="auto"/>
                <w:szCs w:val="21"/>
              </w:rPr>
            </w:pPr>
            <w:r>
              <w:rPr>
                <w:rFonts w:hint="eastAsia" w:ascii="宋体" w:hAnsi="宋体" w:cs="宋体"/>
                <w:color w:val="auto"/>
                <w:kern w:val="0"/>
                <w:szCs w:val="21"/>
              </w:rPr>
              <w:t>元/套</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1DA9810E">
            <w:pPr>
              <w:widowControl/>
              <w:jc w:val="center"/>
              <w:textAlignment w:val="center"/>
              <w:rPr>
                <w:color w:val="auto"/>
                <w:szCs w:val="21"/>
              </w:rPr>
            </w:pPr>
            <w:r>
              <w:rPr>
                <w:color w:val="auto"/>
                <w:kern w:val="0"/>
                <w:szCs w:val="21"/>
              </w:rPr>
              <w:t>2</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9F25EB4">
            <w:pPr>
              <w:widowControl/>
              <w:jc w:val="center"/>
              <w:textAlignment w:val="center"/>
              <w:rPr>
                <w:color w:val="auto"/>
                <w:szCs w:val="21"/>
              </w:rPr>
            </w:pPr>
            <w:r>
              <w:rPr>
                <w:color w:val="auto"/>
                <w:kern w:val="0"/>
                <w:szCs w:val="21"/>
              </w:rPr>
              <w:t>2</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C2AD31A">
            <w:pPr>
              <w:widowControl/>
              <w:jc w:val="center"/>
              <w:textAlignment w:val="center"/>
              <w:rPr>
                <w:rFonts w:ascii="宋体" w:hAnsi="宋体" w:cs="宋体"/>
                <w:color w:val="auto"/>
                <w:szCs w:val="21"/>
              </w:rPr>
            </w:pPr>
          </w:p>
        </w:tc>
      </w:tr>
      <w:tr w14:paraId="1F6BBE75">
        <w:tblPrEx>
          <w:tblCellMar>
            <w:top w:w="0" w:type="dxa"/>
            <w:left w:w="28" w:type="dxa"/>
            <w:bottom w:w="0" w:type="dxa"/>
            <w:right w:w="28" w:type="dxa"/>
          </w:tblCellMar>
        </w:tblPrEx>
        <w:trPr>
          <w:trHeight w:val="786"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01C8768F">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5181D987">
            <w:pPr>
              <w:jc w:val="center"/>
              <w:rPr>
                <w:rFonts w:ascii="宋体" w:hAnsi="宋体" w:cs="宋体"/>
                <w:color w:val="auto"/>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078BF50C">
            <w:pPr>
              <w:jc w:val="center"/>
              <w:rPr>
                <w:rFonts w:ascii="宋体" w:hAnsi="宋体" w:cs="宋体"/>
                <w:color w:val="auto"/>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0B5B4478">
            <w:pPr>
              <w:widowControl/>
              <w:jc w:val="center"/>
              <w:textAlignment w:val="center"/>
              <w:rPr>
                <w:rFonts w:ascii="宋体" w:hAnsi="宋体" w:cs="宋体"/>
                <w:color w:val="auto"/>
                <w:szCs w:val="21"/>
              </w:rPr>
            </w:pPr>
            <w:r>
              <w:rPr>
                <w:rFonts w:hint="eastAsia" w:ascii="宋体" w:hAnsi="宋体" w:cs="宋体"/>
                <w:color w:val="auto"/>
                <w:kern w:val="0"/>
                <w:szCs w:val="21"/>
              </w:rPr>
              <w:t>衬衣采购成本</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3D5E3E12">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2458B7A8">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12A4B470">
            <w:pPr>
              <w:widowControl/>
              <w:jc w:val="center"/>
              <w:textAlignment w:val="center"/>
              <w:rPr>
                <w:rFonts w:ascii="宋体" w:hAnsi="宋体" w:cs="宋体"/>
                <w:color w:val="auto"/>
                <w:szCs w:val="21"/>
              </w:rPr>
            </w:pPr>
            <w:r>
              <w:rPr>
                <w:color w:val="auto"/>
                <w:kern w:val="0"/>
                <w:szCs w:val="21"/>
              </w:rPr>
              <w:t>200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374590FD">
            <w:pPr>
              <w:widowControl/>
              <w:jc w:val="center"/>
              <w:textAlignment w:val="center"/>
              <w:rPr>
                <w:rFonts w:ascii="宋体" w:hAnsi="宋体" w:cs="宋体"/>
                <w:color w:val="auto"/>
                <w:szCs w:val="21"/>
              </w:rPr>
            </w:pPr>
            <w:r>
              <w:rPr>
                <w:color w:val="auto"/>
                <w:kern w:val="0"/>
                <w:szCs w:val="21"/>
              </w:rPr>
              <w:t>95</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7351D20F">
            <w:pPr>
              <w:widowControl/>
              <w:jc w:val="center"/>
              <w:textAlignment w:val="center"/>
              <w:rPr>
                <w:rFonts w:ascii="宋体" w:hAnsi="宋体" w:cs="宋体"/>
                <w:color w:val="auto"/>
                <w:szCs w:val="21"/>
              </w:rPr>
            </w:pPr>
            <w:r>
              <w:rPr>
                <w:rFonts w:hint="eastAsia" w:ascii="宋体" w:hAnsi="宋体" w:cs="宋体"/>
                <w:color w:val="auto"/>
                <w:kern w:val="0"/>
                <w:szCs w:val="21"/>
              </w:rPr>
              <w:t>元/件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5CE0B175">
            <w:pPr>
              <w:widowControl/>
              <w:jc w:val="center"/>
              <w:textAlignment w:val="center"/>
              <w:rPr>
                <w:color w:val="auto"/>
                <w:szCs w:val="21"/>
              </w:rPr>
            </w:pPr>
            <w:r>
              <w:rPr>
                <w:color w:val="auto"/>
                <w:kern w:val="0"/>
                <w:szCs w:val="21"/>
              </w:rPr>
              <w:t>3</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143C13BD">
            <w:pPr>
              <w:widowControl/>
              <w:jc w:val="center"/>
              <w:textAlignment w:val="center"/>
              <w:rPr>
                <w:color w:val="auto"/>
                <w:szCs w:val="21"/>
              </w:rPr>
            </w:pPr>
            <w:r>
              <w:rPr>
                <w:color w:val="auto"/>
                <w:kern w:val="0"/>
                <w:szCs w:val="21"/>
              </w:rPr>
              <w:t>3</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6F6CD32D">
            <w:pPr>
              <w:widowControl/>
              <w:jc w:val="center"/>
              <w:textAlignment w:val="center"/>
              <w:rPr>
                <w:rFonts w:ascii="宋体" w:hAnsi="宋体" w:cs="宋体"/>
                <w:color w:val="auto"/>
                <w:szCs w:val="21"/>
              </w:rPr>
            </w:pPr>
          </w:p>
        </w:tc>
      </w:tr>
      <w:tr w14:paraId="4783355A">
        <w:tblPrEx>
          <w:tblCellMar>
            <w:top w:w="0" w:type="dxa"/>
            <w:left w:w="28" w:type="dxa"/>
            <w:bottom w:w="0" w:type="dxa"/>
            <w:right w:w="28" w:type="dxa"/>
          </w:tblCellMar>
        </w:tblPrEx>
        <w:trPr>
          <w:trHeight w:val="904"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6D1CA817">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75482F4B">
            <w:pPr>
              <w:jc w:val="center"/>
              <w:rPr>
                <w:rFonts w:ascii="宋体" w:hAnsi="宋体" w:cs="宋体"/>
                <w:color w:val="auto"/>
                <w:szCs w:val="21"/>
              </w:rPr>
            </w:pPr>
          </w:p>
        </w:tc>
        <w:tc>
          <w:tcPr>
            <w:tcW w:w="728" w:type="dxa"/>
            <w:vMerge w:val="continue"/>
            <w:tcBorders>
              <w:top w:val="single" w:color="000000" w:sz="4" w:space="0"/>
              <w:left w:val="single" w:color="000000" w:sz="4" w:space="0"/>
              <w:bottom w:val="nil"/>
              <w:right w:val="single" w:color="000000" w:sz="4" w:space="0"/>
            </w:tcBorders>
            <w:shd w:val="clear" w:color="auto" w:fill="auto"/>
            <w:vAlign w:val="center"/>
          </w:tcPr>
          <w:p w14:paraId="0081606D">
            <w:pPr>
              <w:jc w:val="center"/>
              <w:rPr>
                <w:rFonts w:ascii="宋体" w:hAnsi="宋体" w:cs="宋体"/>
                <w:color w:val="auto"/>
                <w:szCs w:val="21"/>
              </w:rPr>
            </w:pP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1CFA8DC4">
            <w:pPr>
              <w:widowControl/>
              <w:jc w:val="center"/>
              <w:textAlignment w:val="center"/>
              <w:rPr>
                <w:rFonts w:ascii="宋体" w:hAnsi="宋体" w:cs="宋体"/>
                <w:color w:val="auto"/>
                <w:szCs w:val="21"/>
              </w:rPr>
            </w:pPr>
            <w:r>
              <w:rPr>
                <w:rFonts w:hint="eastAsia" w:ascii="宋体" w:hAnsi="宋体" w:cs="宋体"/>
                <w:color w:val="auto"/>
                <w:kern w:val="0"/>
                <w:szCs w:val="21"/>
              </w:rPr>
              <w:t>冬季棉服采购成本</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568628F">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0E5F594A">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384BE3C5">
            <w:pPr>
              <w:widowControl/>
              <w:jc w:val="center"/>
              <w:textAlignment w:val="center"/>
              <w:rPr>
                <w:rFonts w:ascii="宋体" w:hAnsi="宋体" w:cs="宋体"/>
                <w:color w:val="auto"/>
                <w:szCs w:val="21"/>
              </w:rPr>
            </w:pPr>
            <w:r>
              <w:rPr>
                <w:color w:val="auto"/>
                <w:kern w:val="0"/>
                <w:szCs w:val="21"/>
              </w:rPr>
              <w:t>800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05A53F5C">
            <w:pPr>
              <w:widowControl/>
              <w:jc w:val="center"/>
              <w:textAlignment w:val="center"/>
              <w:rPr>
                <w:rFonts w:ascii="宋体" w:hAnsi="宋体" w:cs="宋体"/>
                <w:color w:val="auto"/>
                <w:szCs w:val="21"/>
              </w:rPr>
            </w:pPr>
            <w:r>
              <w:rPr>
                <w:color w:val="auto"/>
                <w:kern w:val="0"/>
                <w:szCs w:val="21"/>
              </w:rPr>
              <w:t>452</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0DF22BA3">
            <w:pPr>
              <w:widowControl/>
              <w:jc w:val="center"/>
              <w:textAlignment w:val="center"/>
              <w:rPr>
                <w:rFonts w:ascii="宋体" w:hAnsi="宋体" w:cs="宋体"/>
                <w:color w:val="auto"/>
                <w:szCs w:val="21"/>
              </w:rPr>
            </w:pPr>
            <w:r>
              <w:rPr>
                <w:rFonts w:hint="eastAsia" w:ascii="宋体" w:hAnsi="宋体" w:cs="宋体"/>
                <w:color w:val="auto"/>
                <w:kern w:val="0"/>
                <w:szCs w:val="21"/>
              </w:rPr>
              <w:t>元/件</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45DD15E1">
            <w:pPr>
              <w:widowControl/>
              <w:jc w:val="center"/>
              <w:textAlignment w:val="center"/>
              <w:rPr>
                <w:color w:val="auto"/>
                <w:szCs w:val="21"/>
              </w:rPr>
            </w:pPr>
            <w:r>
              <w:rPr>
                <w:color w:val="auto"/>
                <w:kern w:val="0"/>
                <w:szCs w:val="21"/>
              </w:rPr>
              <w:t>5</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28940CB1">
            <w:pPr>
              <w:widowControl/>
              <w:jc w:val="center"/>
              <w:textAlignment w:val="center"/>
              <w:rPr>
                <w:color w:val="auto"/>
                <w:szCs w:val="21"/>
              </w:rPr>
            </w:pPr>
            <w:r>
              <w:rPr>
                <w:color w:val="auto"/>
                <w:kern w:val="0"/>
                <w:szCs w:val="21"/>
              </w:rPr>
              <w:t>5</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07C0362B">
            <w:pPr>
              <w:widowControl/>
              <w:jc w:val="center"/>
              <w:textAlignment w:val="center"/>
              <w:rPr>
                <w:rFonts w:ascii="宋体" w:hAnsi="宋体" w:cs="宋体"/>
                <w:color w:val="auto"/>
                <w:szCs w:val="21"/>
              </w:rPr>
            </w:pPr>
          </w:p>
        </w:tc>
      </w:tr>
      <w:tr w14:paraId="1B7D7D7B">
        <w:tblPrEx>
          <w:tblCellMar>
            <w:top w:w="0" w:type="dxa"/>
            <w:left w:w="28" w:type="dxa"/>
            <w:bottom w:w="0" w:type="dxa"/>
            <w:right w:w="28" w:type="dxa"/>
          </w:tblCellMar>
        </w:tblPrEx>
        <w:trPr>
          <w:trHeight w:val="840"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57443449">
            <w:pPr>
              <w:jc w:val="center"/>
              <w:rPr>
                <w:rFonts w:ascii="宋体" w:hAnsi="宋体" w:cs="宋体"/>
                <w:color w:val="auto"/>
                <w:szCs w:val="21"/>
              </w:rPr>
            </w:pPr>
          </w:p>
        </w:tc>
        <w:tc>
          <w:tcPr>
            <w:tcW w:w="435" w:type="dxa"/>
            <w:vMerge w:val="restart"/>
            <w:tcBorders>
              <w:top w:val="single" w:color="000000" w:sz="4" w:space="0"/>
              <w:left w:val="single" w:color="000000" w:sz="4" w:space="0"/>
              <w:bottom w:val="nil"/>
              <w:right w:val="single" w:color="000000" w:sz="4" w:space="0"/>
            </w:tcBorders>
            <w:shd w:val="clear" w:color="auto" w:fill="auto"/>
            <w:vAlign w:val="center"/>
          </w:tcPr>
          <w:p w14:paraId="50B73F13">
            <w:pPr>
              <w:widowControl/>
              <w:jc w:val="center"/>
              <w:textAlignment w:val="center"/>
              <w:rPr>
                <w:rFonts w:ascii="宋体" w:hAnsi="宋体" w:cs="宋体"/>
                <w:color w:val="auto"/>
                <w:szCs w:val="21"/>
              </w:rPr>
            </w:pPr>
            <w:r>
              <w:rPr>
                <w:rFonts w:hint="eastAsia" w:ascii="宋体" w:hAnsi="宋体" w:cs="宋体"/>
                <w:color w:val="auto"/>
                <w:kern w:val="0"/>
                <w:szCs w:val="21"/>
              </w:rPr>
              <w:t>效益指标</w:t>
            </w:r>
          </w:p>
        </w:tc>
        <w:tc>
          <w:tcPr>
            <w:tcW w:w="728" w:type="dxa"/>
            <w:tcBorders>
              <w:top w:val="single" w:color="000000" w:sz="4" w:space="0"/>
              <w:left w:val="single" w:color="000000" w:sz="4" w:space="0"/>
              <w:bottom w:val="nil"/>
              <w:right w:val="single" w:color="000000" w:sz="4" w:space="0"/>
            </w:tcBorders>
            <w:shd w:val="clear" w:color="auto" w:fill="auto"/>
            <w:vAlign w:val="center"/>
          </w:tcPr>
          <w:p w14:paraId="6A754DC7">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社会</w:t>
            </w:r>
          </w:p>
          <w:p w14:paraId="4DC702AC">
            <w:pPr>
              <w:widowControl/>
              <w:jc w:val="center"/>
              <w:textAlignment w:val="center"/>
              <w:rPr>
                <w:rFonts w:ascii="宋体" w:hAnsi="宋体" w:cs="宋体"/>
                <w:color w:val="auto"/>
                <w:szCs w:val="21"/>
              </w:rPr>
            </w:pPr>
            <w:r>
              <w:rPr>
                <w:rFonts w:hint="eastAsia" w:ascii="宋体" w:hAnsi="宋体" w:cs="宋体"/>
                <w:color w:val="auto"/>
                <w:kern w:val="0"/>
                <w:szCs w:val="21"/>
              </w:rPr>
              <w:t>效益</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4DF7EBA1">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着装提高司法</w:t>
            </w:r>
          </w:p>
          <w:p w14:paraId="06DFCEB8">
            <w:pPr>
              <w:widowControl/>
              <w:jc w:val="center"/>
              <w:textAlignment w:val="center"/>
              <w:rPr>
                <w:rFonts w:ascii="宋体" w:hAnsi="宋体" w:cs="宋体"/>
                <w:color w:val="auto"/>
                <w:szCs w:val="21"/>
              </w:rPr>
            </w:pPr>
            <w:r>
              <w:rPr>
                <w:rFonts w:hint="eastAsia" w:ascii="宋体" w:hAnsi="宋体" w:cs="宋体"/>
                <w:color w:val="auto"/>
                <w:kern w:val="0"/>
                <w:szCs w:val="21"/>
              </w:rPr>
              <w:t>公信力</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9800B4B">
            <w:pPr>
              <w:widowControl/>
              <w:jc w:val="center"/>
              <w:textAlignment w:val="center"/>
              <w:rPr>
                <w:rFonts w:ascii="宋体" w:hAnsi="宋体" w:cs="宋体"/>
                <w:color w:val="auto"/>
                <w:szCs w:val="21"/>
              </w:rPr>
            </w:pPr>
            <w:r>
              <w:rPr>
                <w:rFonts w:hint="eastAsia" w:ascii="宋体" w:hAnsi="宋体" w:cs="宋体"/>
                <w:color w:val="auto"/>
                <w:kern w:val="0"/>
                <w:szCs w:val="21"/>
              </w:rPr>
              <w:t>定性</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7B78C31D">
            <w:pPr>
              <w:jc w:val="center"/>
              <w:rPr>
                <w:rFonts w:ascii="宋体" w:hAnsi="宋体" w:cs="宋体"/>
                <w:color w:val="auto"/>
                <w:szCs w:val="21"/>
              </w:rPr>
            </w:pPr>
          </w:p>
        </w:tc>
        <w:tc>
          <w:tcPr>
            <w:tcW w:w="822" w:type="dxa"/>
            <w:tcBorders>
              <w:top w:val="single" w:color="000000" w:sz="4" w:space="0"/>
              <w:left w:val="single" w:color="000000" w:sz="4" w:space="0"/>
              <w:bottom w:val="nil"/>
              <w:right w:val="single" w:color="000000" w:sz="4" w:space="0"/>
            </w:tcBorders>
            <w:shd w:val="clear" w:color="auto" w:fill="auto"/>
            <w:vAlign w:val="center"/>
          </w:tcPr>
          <w:p w14:paraId="60EDA9FE">
            <w:pPr>
              <w:widowControl/>
              <w:jc w:val="center"/>
              <w:textAlignment w:val="center"/>
              <w:rPr>
                <w:rFonts w:ascii="宋体" w:hAnsi="宋体" w:cs="宋体"/>
                <w:color w:val="auto"/>
                <w:szCs w:val="21"/>
              </w:rPr>
            </w:pPr>
            <w:r>
              <w:rPr>
                <w:rFonts w:hint="eastAsia" w:ascii="宋体" w:hAnsi="宋体" w:cs="宋体"/>
                <w:color w:val="auto"/>
                <w:kern w:val="0"/>
                <w:szCs w:val="21"/>
              </w:rPr>
              <w:t>提高</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09D6681A">
            <w:pPr>
              <w:widowControl/>
              <w:jc w:val="center"/>
              <w:textAlignment w:val="center"/>
              <w:rPr>
                <w:rFonts w:ascii="宋体" w:hAnsi="宋体" w:cs="宋体"/>
                <w:color w:val="auto"/>
                <w:szCs w:val="21"/>
              </w:rPr>
            </w:pPr>
            <w:r>
              <w:rPr>
                <w:rFonts w:hint="eastAsia" w:ascii="宋体" w:hAnsi="宋体" w:cs="宋体"/>
                <w:color w:val="auto"/>
                <w:kern w:val="0"/>
                <w:szCs w:val="21"/>
              </w:rPr>
              <w:t>提高</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0586E9DE">
            <w:pPr>
              <w:jc w:val="center"/>
              <w:rPr>
                <w:rFonts w:ascii="宋体" w:hAnsi="宋体" w:cs="宋体"/>
                <w:color w:val="auto"/>
                <w:szCs w:val="21"/>
              </w:rPr>
            </w:pPr>
          </w:p>
        </w:tc>
        <w:tc>
          <w:tcPr>
            <w:tcW w:w="644" w:type="dxa"/>
            <w:tcBorders>
              <w:top w:val="single" w:color="000000" w:sz="4" w:space="0"/>
              <w:left w:val="single" w:color="000000" w:sz="4" w:space="0"/>
              <w:bottom w:val="nil"/>
              <w:right w:val="single" w:color="000000" w:sz="4" w:space="0"/>
            </w:tcBorders>
            <w:shd w:val="clear" w:color="auto" w:fill="auto"/>
            <w:vAlign w:val="center"/>
          </w:tcPr>
          <w:p w14:paraId="2975365E">
            <w:pPr>
              <w:widowControl/>
              <w:jc w:val="center"/>
              <w:textAlignment w:val="center"/>
              <w:rPr>
                <w:rFonts w:ascii="宋体" w:hAnsi="宋体" w:cs="宋体"/>
                <w:color w:val="auto"/>
                <w:szCs w:val="21"/>
              </w:rPr>
            </w:pPr>
            <w:r>
              <w:rPr>
                <w:color w:val="auto"/>
                <w:kern w:val="0"/>
                <w:szCs w:val="21"/>
              </w:rPr>
              <w:t>10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483A5D12">
            <w:pPr>
              <w:widowControl/>
              <w:jc w:val="center"/>
              <w:textAlignment w:val="center"/>
              <w:rPr>
                <w:rFonts w:ascii="宋体" w:hAnsi="宋体" w:cs="宋体"/>
                <w:color w:val="auto"/>
                <w:szCs w:val="21"/>
              </w:rPr>
            </w:pPr>
            <w:r>
              <w:rPr>
                <w:color w:val="auto"/>
                <w:kern w:val="0"/>
                <w:szCs w:val="21"/>
              </w:rPr>
              <w:t>10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45D1A49B">
            <w:pPr>
              <w:jc w:val="center"/>
              <w:rPr>
                <w:rFonts w:ascii="宋体" w:hAnsi="宋体" w:cs="宋体"/>
                <w:color w:val="auto"/>
                <w:szCs w:val="21"/>
              </w:rPr>
            </w:pPr>
          </w:p>
        </w:tc>
      </w:tr>
      <w:tr w14:paraId="10524F51">
        <w:tblPrEx>
          <w:tblCellMar>
            <w:top w:w="0" w:type="dxa"/>
            <w:left w:w="28" w:type="dxa"/>
            <w:bottom w:w="0" w:type="dxa"/>
            <w:right w:w="28" w:type="dxa"/>
          </w:tblCellMar>
        </w:tblPrEx>
        <w:trPr>
          <w:trHeight w:val="709"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7815D36F">
            <w:pPr>
              <w:jc w:val="center"/>
              <w:rPr>
                <w:rFonts w:ascii="宋体" w:hAnsi="宋体" w:cs="宋体"/>
                <w:color w:val="auto"/>
                <w:szCs w:val="21"/>
              </w:rPr>
            </w:pPr>
          </w:p>
        </w:tc>
        <w:tc>
          <w:tcPr>
            <w:tcW w:w="435" w:type="dxa"/>
            <w:vMerge w:val="continue"/>
            <w:tcBorders>
              <w:top w:val="single" w:color="000000" w:sz="4" w:space="0"/>
              <w:left w:val="single" w:color="000000" w:sz="4" w:space="0"/>
              <w:bottom w:val="nil"/>
              <w:right w:val="single" w:color="000000" w:sz="4" w:space="0"/>
            </w:tcBorders>
            <w:shd w:val="clear" w:color="auto" w:fill="auto"/>
            <w:vAlign w:val="center"/>
          </w:tcPr>
          <w:p w14:paraId="3CAFC1D6">
            <w:pPr>
              <w:jc w:val="center"/>
              <w:rPr>
                <w:rFonts w:ascii="宋体" w:hAnsi="宋体" w:cs="宋体"/>
                <w:color w:val="auto"/>
                <w:szCs w:val="21"/>
              </w:rPr>
            </w:pPr>
          </w:p>
        </w:tc>
        <w:tc>
          <w:tcPr>
            <w:tcW w:w="728" w:type="dxa"/>
            <w:tcBorders>
              <w:top w:val="single" w:color="000000" w:sz="4" w:space="0"/>
              <w:left w:val="single" w:color="000000" w:sz="4" w:space="0"/>
              <w:bottom w:val="nil"/>
              <w:right w:val="single" w:color="000000" w:sz="4" w:space="0"/>
            </w:tcBorders>
            <w:shd w:val="clear" w:color="auto" w:fill="auto"/>
            <w:vAlign w:val="center"/>
          </w:tcPr>
          <w:p w14:paraId="3D705FFC">
            <w:pPr>
              <w:widowControl/>
              <w:jc w:val="center"/>
              <w:textAlignment w:val="center"/>
              <w:rPr>
                <w:rFonts w:ascii="宋体" w:hAnsi="宋体" w:cs="宋体"/>
                <w:color w:val="auto"/>
                <w:szCs w:val="21"/>
              </w:rPr>
            </w:pPr>
            <w:r>
              <w:rPr>
                <w:rFonts w:hint="eastAsia" w:ascii="宋体" w:hAnsi="宋体" w:cs="宋体"/>
                <w:color w:val="auto"/>
                <w:kern w:val="0"/>
                <w:szCs w:val="21"/>
              </w:rPr>
              <w:t>可持续影响</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23BD5108">
            <w:pPr>
              <w:widowControl/>
              <w:jc w:val="center"/>
              <w:textAlignment w:val="center"/>
              <w:rPr>
                <w:rFonts w:ascii="宋体" w:hAnsi="宋体" w:cs="宋体"/>
                <w:color w:val="auto"/>
                <w:szCs w:val="21"/>
              </w:rPr>
            </w:pPr>
            <w:r>
              <w:rPr>
                <w:rFonts w:hint="eastAsia" w:ascii="宋体" w:hAnsi="宋体" w:cs="宋体"/>
                <w:color w:val="auto"/>
                <w:kern w:val="0"/>
                <w:szCs w:val="21"/>
              </w:rPr>
              <w:t>服装持续使用时长</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077E20CD">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150C250C">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5488039E">
            <w:pPr>
              <w:widowControl/>
              <w:jc w:val="center"/>
              <w:textAlignment w:val="center"/>
              <w:rPr>
                <w:color w:val="auto"/>
                <w:szCs w:val="21"/>
              </w:rPr>
            </w:pPr>
            <w:r>
              <w:rPr>
                <w:color w:val="auto"/>
                <w:kern w:val="0"/>
                <w:szCs w:val="21"/>
              </w:rPr>
              <w:t>1</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7FA561A3">
            <w:pPr>
              <w:widowControl/>
              <w:jc w:val="center"/>
              <w:textAlignment w:val="center"/>
              <w:rPr>
                <w:color w:val="auto"/>
                <w:szCs w:val="21"/>
              </w:rPr>
            </w:pPr>
            <w:r>
              <w:rPr>
                <w:color w:val="auto"/>
                <w:kern w:val="0"/>
                <w:szCs w:val="21"/>
              </w:rPr>
              <w:t>1</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32382B39">
            <w:pPr>
              <w:widowControl/>
              <w:jc w:val="center"/>
              <w:textAlignment w:val="center"/>
              <w:rPr>
                <w:rFonts w:ascii="宋体" w:hAnsi="宋体" w:cs="宋体"/>
                <w:color w:val="auto"/>
                <w:szCs w:val="21"/>
              </w:rPr>
            </w:pPr>
            <w:r>
              <w:rPr>
                <w:rFonts w:hint="eastAsia" w:ascii="宋体" w:hAnsi="宋体" w:cs="宋体"/>
                <w:color w:val="auto"/>
                <w:kern w:val="0"/>
                <w:szCs w:val="21"/>
              </w:rPr>
              <w:t>年</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151E8BBA">
            <w:pPr>
              <w:widowControl/>
              <w:jc w:val="center"/>
              <w:textAlignment w:val="center"/>
              <w:rPr>
                <w:rFonts w:ascii="宋体" w:hAnsi="宋体" w:cs="宋体"/>
                <w:color w:val="auto"/>
                <w:szCs w:val="21"/>
              </w:rPr>
            </w:pPr>
            <w:r>
              <w:rPr>
                <w:color w:val="auto"/>
                <w:kern w:val="0"/>
                <w:szCs w:val="21"/>
              </w:rPr>
              <w:t>20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1F1BE571">
            <w:pPr>
              <w:widowControl/>
              <w:jc w:val="center"/>
              <w:textAlignment w:val="center"/>
              <w:rPr>
                <w:rFonts w:ascii="宋体" w:hAnsi="宋体" w:cs="宋体"/>
                <w:color w:val="auto"/>
                <w:szCs w:val="21"/>
              </w:rPr>
            </w:pPr>
            <w:r>
              <w:rPr>
                <w:color w:val="auto"/>
                <w:kern w:val="0"/>
                <w:szCs w:val="21"/>
              </w:rPr>
              <w:t>20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793C347E">
            <w:pPr>
              <w:jc w:val="center"/>
              <w:rPr>
                <w:rFonts w:ascii="宋体" w:hAnsi="宋体" w:cs="宋体"/>
                <w:color w:val="auto"/>
                <w:szCs w:val="21"/>
              </w:rPr>
            </w:pPr>
          </w:p>
        </w:tc>
      </w:tr>
      <w:tr w14:paraId="4D667679">
        <w:tblPrEx>
          <w:tblCellMar>
            <w:top w:w="0" w:type="dxa"/>
            <w:left w:w="28" w:type="dxa"/>
            <w:bottom w:w="0" w:type="dxa"/>
            <w:right w:w="28" w:type="dxa"/>
          </w:tblCellMar>
        </w:tblPrEx>
        <w:trPr>
          <w:trHeight w:val="840" w:hRule="atLeast"/>
          <w:jc w:val="center"/>
        </w:trPr>
        <w:tc>
          <w:tcPr>
            <w:tcW w:w="419" w:type="dxa"/>
            <w:vMerge w:val="continue"/>
            <w:tcBorders>
              <w:top w:val="single" w:color="000000" w:sz="4" w:space="0"/>
              <w:left w:val="single" w:color="000000" w:sz="4" w:space="0"/>
              <w:bottom w:val="nil"/>
              <w:right w:val="single" w:color="000000" w:sz="4" w:space="0"/>
            </w:tcBorders>
            <w:shd w:val="clear" w:color="auto" w:fill="auto"/>
            <w:vAlign w:val="center"/>
          </w:tcPr>
          <w:p w14:paraId="0CAE9588">
            <w:pPr>
              <w:jc w:val="center"/>
              <w:rPr>
                <w:rFonts w:ascii="宋体" w:hAnsi="宋体" w:cs="宋体"/>
                <w:color w:val="auto"/>
                <w:szCs w:val="21"/>
              </w:rPr>
            </w:pPr>
          </w:p>
        </w:tc>
        <w:tc>
          <w:tcPr>
            <w:tcW w:w="435" w:type="dxa"/>
            <w:tcBorders>
              <w:top w:val="single" w:color="000000" w:sz="4" w:space="0"/>
              <w:left w:val="single" w:color="000000" w:sz="4" w:space="0"/>
              <w:bottom w:val="nil"/>
              <w:right w:val="single" w:color="000000" w:sz="4" w:space="0"/>
            </w:tcBorders>
            <w:shd w:val="clear" w:color="auto" w:fill="auto"/>
            <w:vAlign w:val="center"/>
          </w:tcPr>
          <w:p w14:paraId="156DA323">
            <w:pPr>
              <w:widowControl/>
              <w:jc w:val="center"/>
              <w:textAlignment w:val="center"/>
              <w:rPr>
                <w:rFonts w:ascii="宋体" w:hAnsi="宋体" w:cs="宋体"/>
                <w:color w:val="auto"/>
                <w:szCs w:val="21"/>
              </w:rPr>
            </w:pPr>
            <w:r>
              <w:rPr>
                <w:rFonts w:hint="eastAsia" w:ascii="宋体" w:hAnsi="宋体" w:cs="宋体"/>
                <w:color w:val="auto"/>
                <w:kern w:val="0"/>
                <w:szCs w:val="21"/>
              </w:rPr>
              <w:t>满意度指标</w:t>
            </w:r>
          </w:p>
        </w:tc>
        <w:tc>
          <w:tcPr>
            <w:tcW w:w="728" w:type="dxa"/>
            <w:tcBorders>
              <w:top w:val="single" w:color="000000" w:sz="4" w:space="0"/>
              <w:left w:val="single" w:color="000000" w:sz="4" w:space="0"/>
              <w:bottom w:val="nil"/>
              <w:right w:val="single" w:color="000000" w:sz="4" w:space="0"/>
            </w:tcBorders>
            <w:shd w:val="clear" w:color="auto" w:fill="auto"/>
            <w:vAlign w:val="center"/>
          </w:tcPr>
          <w:p w14:paraId="20C04285">
            <w:pPr>
              <w:widowControl/>
              <w:jc w:val="center"/>
              <w:textAlignment w:val="center"/>
              <w:rPr>
                <w:rFonts w:ascii="宋体" w:hAnsi="宋体" w:cs="宋体"/>
                <w:color w:val="auto"/>
                <w:szCs w:val="21"/>
              </w:rPr>
            </w:pPr>
            <w:r>
              <w:rPr>
                <w:rFonts w:hint="eastAsia" w:ascii="宋体" w:hAnsi="宋体" w:cs="宋体"/>
                <w:color w:val="auto"/>
                <w:kern w:val="0"/>
                <w:szCs w:val="21"/>
              </w:rPr>
              <w:t>服务对象满意度</w:t>
            </w:r>
          </w:p>
        </w:tc>
        <w:tc>
          <w:tcPr>
            <w:tcW w:w="1062" w:type="dxa"/>
            <w:tcBorders>
              <w:top w:val="single" w:color="000000" w:sz="4" w:space="0"/>
              <w:left w:val="single" w:color="000000" w:sz="4" w:space="0"/>
              <w:bottom w:val="nil"/>
              <w:right w:val="single" w:color="000000" w:sz="4" w:space="0"/>
            </w:tcBorders>
            <w:shd w:val="clear" w:color="auto" w:fill="auto"/>
            <w:vAlign w:val="center"/>
          </w:tcPr>
          <w:p w14:paraId="7187E3E0">
            <w:pPr>
              <w:widowControl/>
              <w:jc w:val="center"/>
              <w:textAlignment w:val="center"/>
              <w:rPr>
                <w:rFonts w:ascii="宋体" w:hAnsi="宋体" w:cs="宋体"/>
                <w:color w:val="auto"/>
                <w:szCs w:val="21"/>
              </w:rPr>
            </w:pPr>
            <w:r>
              <w:rPr>
                <w:rFonts w:hint="eastAsia" w:ascii="宋体" w:hAnsi="宋体" w:cs="宋体"/>
                <w:color w:val="auto"/>
                <w:kern w:val="0"/>
                <w:szCs w:val="21"/>
              </w:rPr>
              <w:t>着装干警满意度</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065E1CE7">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59" w:type="dxa"/>
            <w:tcBorders>
              <w:top w:val="single" w:color="000000" w:sz="4" w:space="0"/>
              <w:left w:val="single" w:color="000000" w:sz="4" w:space="0"/>
              <w:bottom w:val="nil"/>
              <w:right w:val="single" w:color="000000" w:sz="4" w:space="0"/>
            </w:tcBorders>
            <w:shd w:val="clear" w:color="auto" w:fill="auto"/>
            <w:vAlign w:val="center"/>
          </w:tcPr>
          <w:p w14:paraId="2A57ED0B">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822" w:type="dxa"/>
            <w:tcBorders>
              <w:top w:val="single" w:color="000000" w:sz="4" w:space="0"/>
              <w:left w:val="single" w:color="000000" w:sz="4" w:space="0"/>
              <w:bottom w:val="nil"/>
              <w:right w:val="single" w:color="000000" w:sz="4" w:space="0"/>
            </w:tcBorders>
            <w:shd w:val="clear" w:color="auto" w:fill="auto"/>
            <w:vAlign w:val="center"/>
          </w:tcPr>
          <w:p w14:paraId="52FD90E9">
            <w:pPr>
              <w:widowControl/>
              <w:jc w:val="center"/>
              <w:textAlignment w:val="center"/>
              <w:rPr>
                <w:rFonts w:ascii="宋体" w:hAnsi="宋体" w:cs="宋体"/>
                <w:color w:val="auto"/>
                <w:szCs w:val="21"/>
              </w:rPr>
            </w:pPr>
            <w:r>
              <w:rPr>
                <w:color w:val="auto"/>
                <w:kern w:val="0"/>
                <w:szCs w:val="21"/>
              </w:rPr>
              <w:t>90</w:t>
            </w:r>
          </w:p>
        </w:tc>
        <w:tc>
          <w:tcPr>
            <w:tcW w:w="692" w:type="dxa"/>
            <w:tcBorders>
              <w:top w:val="single" w:color="000000" w:sz="4" w:space="0"/>
              <w:left w:val="single" w:color="000000" w:sz="4" w:space="0"/>
              <w:bottom w:val="nil"/>
              <w:right w:val="single" w:color="000000" w:sz="4" w:space="0"/>
            </w:tcBorders>
            <w:shd w:val="clear" w:color="auto" w:fill="auto"/>
            <w:vAlign w:val="center"/>
          </w:tcPr>
          <w:p w14:paraId="59D7876D">
            <w:pPr>
              <w:widowControl/>
              <w:jc w:val="center"/>
              <w:textAlignment w:val="center"/>
              <w:rPr>
                <w:rFonts w:ascii="宋体" w:hAnsi="宋体" w:cs="宋体"/>
                <w:color w:val="auto"/>
                <w:szCs w:val="21"/>
              </w:rPr>
            </w:pPr>
            <w:r>
              <w:rPr>
                <w:color w:val="auto"/>
                <w:kern w:val="0"/>
                <w:szCs w:val="21"/>
              </w:rPr>
              <w:t>90</w:t>
            </w:r>
          </w:p>
        </w:tc>
        <w:tc>
          <w:tcPr>
            <w:tcW w:w="807" w:type="dxa"/>
            <w:tcBorders>
              <w:top w:val="single" w:color="000000" w:sz="4" w:space="0"/>
              <w:left w:val="single" w:color="000000" w:sz="4" w:space="0"/>
              <w:bottom w:val="nil"/>
              <w:right w:val="single" w:color="000000" w:sz="4" w:space="0"/>
            </w:tcBorders>
            <w:shd w:val="clear" w:color="auto" w:fill="auto"/>
            <w:vAlign w:val="center"/>
          </w:tcPr>
          <w:p w14:paraId="22BDD817">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44" w:type="dxa"/>
            <w:tcBorders>
              <w:top w:val="single" w:color="000000" w:sz="4" w:space="0"/>
              <w:left w:val="single" w:color="000000" w:sz="4" w:space="0"/>
              <w:bottom w:val="nil"/>
              <w:right w:val="single" w:color="000000" w:sz="4" w:space="0"/>
            </w:tcBorders>
            <w:shd w:val="clear" w:color="auto" w:fill="auto"/>
            <w:vAlign w:val="center"/>
          </w:tcPr>
          <w:p w14:paraId="217CB09C">
            <w:pPr>
              <w:widowControl/>
              <w:jc w:val="center"/>
              <w:textAlignment w:val="center"/>
              <w:rPr>
                <w:rFonts w:ascii="宋体" w:hAnsi="宋体" w:cs="宋体"/>
                <w:color w:val="auto"/>
                <w:szCs w:val="21"/>
              </w:rPr>
            </w:pPr>
            <w:r>
              <w:rPr>
                <w:color w:val="auto"/>
                <w:kern w:val="0"/>
                <w:szCs w:val="21"/>
              </w:rPr>
              <w:t>10</w:t>
            </w:r>
          </w:p>
        </w:tc>
        <w:tc>
          <w:tcPr>
            <w:tcW w:w="844" w:type="dxa"/>
            <w:tcBorders>
              <w:top w:val="single" w:color="000000" w:sz="4" w:space="0"/>
              <w:left w:val="single" w:color="000000" w:sz="4" w:space="0"/>
              <w:bottom w:val="nil"/>
              <w:right w:val="single" w:color="000000" w:sz="4" w:space="0"/>
            </w:tcBorders>
            <w:shd w:val="clear" w:color="auto" w:fill="auto"/>
            <w:vAlign w:val="center"/>
          </w:tcPr>
          <w:p w14:paraId="79BA64DE">
            <w:pPr>
              <w:widowControl/>
              <w:jc w:val="center"/>
              <w:textAlignment w:val="center"/>
              <w:rPr>
                <w:rFonts w:ascii="宋体" w:hAnsi="宋体" w:cs="宋体"/>
                <w:color w:val="auto"/>
                <w:szCs w:val="21"/>
              </w:rPr>
            </w:pPr>
            <w:r>
              <w:rPr>
                <w:color w:val="auto"/>
                <w:kern w:val="0"/>
                <w:szCs w:val="21"/>
              </w:rPr>
              <w:t>10</w:t>
            </w:r>
          </w:p>
        </w:tc>
        <w:tc>
          <w:tcPr>
            <w:tcW w:w="1594" w:type="dxa"/>
            <w:tcBorders>
              <w:top w:val="single" w:color="000000" w:sz="4" w:space="0"/>
              <w:left w:val="single" w:color="000000" w:sz="4" w:space="0"/>
              <w:bottom w:val="nil"/>
              <w:right w:val="single" w:color="000000" w:sz="4" w:space="0"/>
            </w:tcBorders>
            <w:shd w:val="clear" w:color="auto" w:fill="auto"/>
            <w:vAlign w:val="center"/>
          </w:tcPr>
          <w:p w14:paraId="06A6D9AB">
            <w:pPr>
              <w:jc w:val="center"/>
              <w:rPr>
                <w:rFonts w:ascii="宋体" w:hAnsi="宋体" w:cs="宋体"/>
                <w:color w:val="auto"/>
                <w:szCs w:val="21"/>
              </w:rPr>
            </w:pPr>
          </w:p>
        </w:tc>
      </w:tr>
      <w:tr w14:paraId="3E8796A2">
        <w:tblPrEx>
          <w:tblCellMar>
            <w:top w:w="0" w:type="dxa"/>
            <w:left w:w="28" w:type="dxa"/>
            <w:bottom w:w="0" w:type="dxa"/>
            <w:right w:w="28" w:type="dxa"/>
          </w:tblCellMar>
        </w:tblPrEx>
        <w:trPr>
          <w:trHeight w:val="840" w:hRule="atLeast"/>
          <w:jc w:val="center"/>
        </w:trPr>
        <w:tc>
          <w:tcPr>
            <w:tcW w:w="64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FD0A14">
            <w:pPr>
              <w:widowControl/>
              <w:jc w:val="center"/>
              <w:textAlignment w:val="center"/>
              <w:rPr>
                <w:rFonts w:ascii="宋体" w:hAnsi="宋体" w:cs="宋体"/>
                <w:color w:val="auto"/>
                <w:szCs w:val="21"/>
              </w:rPr>
            </w:pPr>
            <w:r>
              <w:rPr>
                <w:rFonts w:hint="eastAsia" w:ascii="宋体" w:hAnsi="宋体" w:cs="宋体"/>
                <w:color w:val="auto"/>
                <w:kern w:val="0"/>
                <w:szCs w:val="21"/>
              </w:rPr>
              <w:t>总分</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DFA7">
            <w:pPr>
              <w:widowControl/>
              <w:jc w:val="center"/>
              <w:textAlignment w:val="center"/>
              <w:rPr>
                <w:rFonts w:ascii="宋体" w:hAnsi="宋体" w:cs="宋体"/>
                <w:color w:val="auto"/>
                <w:szCs w:val="21"/>
              </w:rPr>
            </w:pPr>
            <w:r>
              <w:rPr>
                <w:color w:val="auto"/>
                <w:kern w:val="0"/>
                <w:szCs w:val="21"/>
              </w:rPr>
              <w:t>100</w:t>
            </w:r>
          </w:p>
        </w:tc>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A943">
            <w:pPr>
              <w:widowControl/>
              <w:jc w:val="center"/>
              <w:textAlignment w:val="center"/>
              <w:rPr>
                <w:rFonts w:ascii="宋体" w:hAnsi="宋体" w:cs="宋体"/>
                <w:color w:val="auto"/>
                <w:szCs w:val="21"/>
              </w:rPr>
            </w:pPr>
            <w:r>
              <w:rPr>
                <w:color w:val="auto"/>
                <w:kern w:val="0"/>
                <w:szCs w:val="21"/>
              </w:rPr>
              <w:t>97</w:t>
            </w:r>
            <w:r>
              <w:rPr>
                <w:rFonts w:hint="eastAsia" w:ascii="宋体" w:hAnsi="宋体" w:cs="宋体"/>
                <w:color w:val="auto"/>
                <w:kern w:val="0"/>
                <w:szCs w:val="21"/>
              </w:rPr>
              <w:t>.</w:t>
            </w:r>
            <w:r>
              <w:rPr>
                <w:color w:val="auto"/>
                <w:kern w:val="0"/>
                <w:szCs w:val="21"/>
              </w:rPr>
              <w:t>43</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0F3F8">
            <w:pPr>
              <w:jc w:val="center"/>
              <w:rPr>
                <w:rFonts w:ascii="宋体" w:hAnsi="宋体" w:cs="宋体"/>
                <w:color w:val="auto"/>
                <w:szCs w:val="21"/>
              </w:rPr>
            </w:pPr>
          </w:p>
        </w:tc>
      </w:tr>
    </w:tbl>
    <w:p w14:paraId="09026173">
      <w:pPr>
        <w:rPr>
          <w:color w:val="auto"/>
        </w:rPr>
      </w:pPr>
    </w:p>
    <w:tbl>
      <w:tblPr>
        <w:tblStyle w:val="11"/>
        <w:tblW w:w="9569" w:type="dxa"/>
        <w:jc w:val="center"/>
        <w:tblLayout w:type="fixed"/>
        <w:tblCellMar>
          <w:top w:w="0" w:type="dxa"/>
          <w:left w:w="28" w:type="dxa"/>
          <w:bottom w:w="0" w:type="dxa"/>
          <w:right w:w="28" w:type="dxa"/>
        </w:tblCellMar>
      </w:tblPr>
      <w:tblGrid>
        <w:gridCol w:w="515"/>
        <w:gridCol w:w="745"/>
        <w:gridCol w:w="745"/>
        <w:gridCol w:w="928"/>
        <w:gridCol w:w="642"/>
        <w:gridCol w:w="994"/>
        <w:gridCol w:w="691"/>
        <w:gridCol w:w="799"/>
        <w:gridCol w:w="699"/>
        <w:gridCol w:w="689"/>
        <w:gridCol w:w="630"/>
        <w:gridCol w:w="1492"/>
      </w:tblGrid>
      <w:tr w14:paraId="5669FE4D">
        <w:tblPrEx>
          <w:tblCellMar>
            <w:top w:w="0" w:type="dxa"/>
            <w:left w:w="28" w:type="dxa"/>
            <w:bottom w:w="0" w:type="dxa"/>
            <w:right w:w="28" w:type="dxa"/>
          </w:tblCellMar>
        </w:tblPrEx>
        <w:trPr>
          <w:trHeight w:val="960" w:hRule="atLeast"/>
          <w:jc w:val="center"/>
        </w:trPr>
        <w:tc>
          <w:tcPr>
            <w:tcW w:w="9569"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D656405">
            <w:pPr>
              <w:widowControl/>
              <w:spacing w:line="460" w:lineRule="exact"/>
              <w:jc w:val="center"/>
              <w:textAlignment w:val="center"/>
              <w:rPr>
                <w:rFonts w:hint="eastAsia" w:hAnsi="黑体" w:eastAsia="黑体"/>
                <w:bCs/>
                <w:color w:val="auto"/>
                <w:kern w:val="0"/>
                <w:sz w:val="30"/>
                <w:szCs w:val="30"/>
              </w:rPr>
            </w:pPr>
            <w:r>
              <w:rPr>
                <w:rFonts w:hint="eastAsia" w:hAnsi="黑体" w:eastAsia="黑体"/>
                <w:bCs/>
                <w:color w:val="auto"/>
                <w:kern w:val="0"/>
                <w:sz w:val="30"/>
                <w:szCs w:val="30"/>
              </w:rPr>
              <w:t>项目支出绩效自评表</w:t>
            </w:r>
          </w:p>
          <w:p w14:paraId="5AA1CC61">
            <w:pPr>
              <w:widowControl/>
              <w:spacing w:line="460" w:lineRule="exact"/>
              <w:jc w:val="center"/>
              <w:textAlignment w:val="center"/>
              <w:rPr>
                <w:rFonts w:ascii="宋体" w:hAnsi="宋体" w:cs="宋体"/>
                <w:b/>
                <w:bCs/>
                <w:color w:val="auto"/>
                <w:sz w:val="40"/>
                <w:szCs w:val="40"/>
              </w:rPr>
            </w:pPr>
            <w:r>
              <w:rPr>
                <w:rFonts w:hint="eastAsia" w:hAnsi="黑体" w:eastAsia="黑体"/>
                <w:bCs/>
                <w:color w:val="auto"/>
                <w:kern w:val="0"/>
                <w:sz w:val="30"/>
                <w:szCs w:val="30"/>
              </w:rPr>
              <w:t>(</w:t>
            </w:r>
            <w:r>
              <w:rPr>
                <w:rFonts w:hAnsi="黑体" w:eastAsia="黑体"/>
                <w:bCs/>
                <w:color w:val="auto"/>
                <w:kern w:val="0"/>
                <w:sz w:val="30"/>
                <w:szCs w:val="30"/>
              </w:rPr>
              <w:t>2025</w:t>
            </w:r>
            <w:r>
              <w:rPr>
                <w:rFonts w:hint="eastAsia" w:hAnsi="黑体" w:eastAsia="黑体"/>
                <w:bCs/>
                <w:color w:val="auto"/>
                <w:kern w:val="0"/>
                <w:sz w:val="30"/>
                <w:szCs w:val="30"/>
              </w:rPr>
              <w:t>年度）</w:t>
            </w:r>
          </w:p>
        </w:tc>
      </w:tr>
      <w:tr w14:paraId="01B0D12C">
        <w:tblPrEx>
          <w:tblCellMar>
            <w:top w:w="0" w:type="dxa"/>
            <w:left w:w="28" w:type="dxa"/>
            <w:bottom w:w="0" w:type="dxa"/>
            <w:right w:w="28" w:type="dxa"/>
          </w:tblCellMar>
        </w:tblPrEx>
        <w:trPr>
          <w:trHeight w:val="605" w:hRule="atLeast"/>
          <w:jc w:val="center"/>
        </w:trPr>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A55E5">
            <w:pPr>
              <w:widowControl/>
              <w:jc w:val="center"/>
              <w:textAlignment w:val="center"/>
              <w:rPr>
                <w:rFonts w:ascii="宋体" w:hAnsi="宋体" w:cs="宋体"/>
                <w:color w:val="auto"/>
                <w:szCs w:val="21"/>
              </w:rPr>
            </w:pPr>
            <w:r>
              <w:rPr>
                <w:rFonts w:hint="eastAsia" w:ascii="宋体" w:hAnsi="宋体" w:cs="宋体"/>
                <w:color w:val="auto"/>
                <w:kern w:val="0"/>
                <w:szCs w:val="21"/>
              </w:rPr>
              <w:t>项目名称</w:t>
            </w:r>
          </w:p>
        </w:tc>
        <w:tc>
          <w:tcPr>
            <w:tcW w:w="830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B30AE7">
            <w:pPr>
              <w:widowControl/>
              <w:jc w:val="center"/>
              <w:textAlignment w:val="center"/>
              <w:rPr>
                <w:rFonts w:ascii="宋体" w:hAnsi="宋体" w:cs="宋体"/>
                <w:color w:val="auto"/>
                <w:szCs w:val="21"/>
              </w:rPr>
            </w:pPr>
            <w:r>
              <w:rPr>
                <w:rFonts w:hint="eastAsia" w:ascii="宋体" w:hAnsi="宋体" w:cs="宋体"/>
                <w:color w:val="auto"/>
                <w:kern w:val="0"/>
                <w:szCs w:val="21"/>
              </w:rPr>
              <w:t>信息系统运行维护经费</w:t>
            </w:r>
          </w:p>
        </w:tc>
      </w:tr>
      <w:tr w14:paraId="5EE80129">
        <w:tblPrEx>
          <w:tblCellMar>
            <w:top w:w="0" w:type="dxa"/>
            <w:left w:w="28" w:type="dxa"/>
            <w:bottom w:w="0" w:type="dxa"/>
            <w:right w:w="28" w:type="dxa"/>
          </w:tblCellMar>
        </w:tblPrEx>
        <w:trPr>
          <w:trHeight w:val="688" w:hRule="atLeast"/>
          <w:jc w:val="center"/>
        </w:trPr>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9CAE1">
            <w:pPr>
              <w:widowControl/>
              <w:jc w:val="center"/>
              <w:textAlignment w:val="center"/>
              <w:rPr>
                <w:rFonts w:ascii="宋体" w:hAnsi="宋体" w:cs="宋体"/>
                <w:color w:val="auto"/>
                <w:szCs w:val="21"/>
              </w:rPr>
            </w:pPr>
            <w:r>
              <w:rPr>
                <w:rFonts w:hint="eastAsia" w:ascii="宋体" w:hAnsi="宋体" w:cs="宋体"/>
                <w:color w:val="auto"/>
                <w:kern w:val="0"/>
                <w:szCs w:val="21"/>
              </w:rPr>
              <w:t>主管部门</w:t>
            </w:r>
          </w:p>
        </w:tc>
        <w:tc>
          <w:tcPr>
            <w:tcW w:w="33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8FB2C">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内蒙古自治区人民检察院部门</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7FEFA">
            <w:pPr>
              <w:widowControl/>
              <w:jc w:val="center"/>
              <w:textAlignment w:val="center"/>
              <w:rPr>
                <w:rFonts w:ascii="宋体" w:hAnsi="宋体" w:cs="宋体"/>
                <w:color w:val="auto"/>
                <w:szCs w:val="21"/>
              </w:rPr>
            </w:pPr>
            <w:r>
              <w:rPr>
                <w:rFonts w:hint="eastAsia" w:ascii="宋体" w:hAnsi="宋体" w:cs="宋体"/>
                <w:color w:val="auto"/>
                <w:kern w:val="0"/>
                <w:szCs w:val="21"/>
              </w:rPr>
              <w:t>实施单位</w:t>
            </w:r>
          </w:p>
        </w:tc>
        <w:tc>
          <w:tcPr>
            <w:tcW w:w="35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F07F03">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w:t>
            </w:r>
          </w:p>
        </w:tc>
      </w:tr>
      <w:tr w14:paraId="2D57E307">
        <w:tblPrEx>
          <w:tblCellMar>
            <w:top w:w="0" w:type="dxa"/>
            <w:left w:w="28" w:type="dxa"/>
            <w:bottom w:w="0" w:type="dxa"/>
            <w:right w:w="28" w:type="dxa"/>
          </w:tblCellMar>
        </w:tblPrEx>
        <w:trPr>
          <w:trHeight w:val="759" w:hRule="atLeast"/>
          <w:jc w:val="center"/>
        </w:trPr>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4A73E">
            <w:pPr>
              <w:widowControl/>
              <w:jc w:val="center"/>
              <w:textAlignment w:val="center"/>
              <w:rPr>
                <w:rFonts w:ascii="宋体" w:hAnsi="宋体" w:cs="宋体"/>
                <w:color w:val="auto"/>
                <w:szCs w:val="21"/>
              </w:rPr>
            </w:pPr>
            <w:r>
              <w:rPr>
                <w:rFonts w:hint="eastAsia" w:ascii="宋体" w:hAnsi="宋体" w:cs="宋体"/>
                <w:color w:val="auto"/>
                <w:kern w:val="0"/>
                <w:szCs w:val="21"/>
              </w:rPr>
              <w:t>项目资金</w:t>
            </w:r>
            <w:r>
              <w:rPr>
                <w:rFonts w:hint="eastAsia" w:ascii="宋体" w:hAnsi="宋体" w:cs="宋体"/>
                <w:color w:val="auto"/>
                <w:kern w:val="0"/>
                <w:szCs w:val="21"/>
              </w:rPr>
              <w:br w:type="textWrapping"/>
            </w:r>
            <w:r>
              <w:rPr>
                <w:rFonts w:hint="eastAsia" w:ascii="宋体" w:hAnsi="宋体" w:cs="宋体"/>
                <w:color w:val="auto"/>
                <w:kern w:val="0"/>
                <w:szCs w:val="21"/>
              </w:rPr>
              <w:t>（万元）</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F236">
            <w:pPr>
              <w:jc w:val="center"/>
              <w:rPr>
                <w:rFonts w:ascii="宋体" w:hAnsi="宋体" w:cs="宋体"/>
                <w:color w:val="auto"/>
                <w:szCs w:val="21"/>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8F8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年初</w:t>
            </w:r>
          </w:p>
          <w:p w14:paraId="69D75BFC">
            <w:pPr>
              <w:widowControl/>
              <w:jc w:val="center"/>
              <w:textAlignment w:val="center"/>
              <w:rPr>
                <w:rFonts w:ascii="宋体" w:hAnsi="宋体" w:cs="宋体"/>
                <w:color w:val="auto"/>
                <w:szCs w:val="21"/>
              </w:rPr>
            </w:pPr>
            <w:r>
              <w:rPr>
                <w:rFonts w:hint="eastAsia" w:ascii="宋体" w:hAnsi="宋体" w:cs="宋体"/>
                <w:color w:val="auto"/>
                <w:kern w:val="0"/>
                <w:szCs w:val="21"/>
              </w:rPr>
              <w:t>预算数</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E654B">
            <w:pPr>
              <w:widowControl/>
              <w:jc w:val="center"/>
              <w:textAlignment w:val="center"/>
              <w:rPr>
                <w:rFonts w:ascii="宋体" w:hAnsi="宋体" w:cs="宋体"/>
                <w:color w:val="auto"/>
                <w:szCs w:val="21"/>
              </w:rPr>
            </w:pPr>
            <w:r>
              <w:rPr>
                <w:rFonts w:hint="eastAsia" w:ascii="宋体" w:hAnsi="宋体" w:cs="宋体"/>
                <w:color w:val="auto"/>
                <w:kern w:val="0"/>
                <w:szCs w:val="21"/>
              </w:rPr>
              <w:t>全年预算数</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BFFF7">
            <w:pPr>
              <w:widowControl/>
              <w:jc w:val="center"/>
              <w:textAlignment w:val="center"/>
              <w:rPr>
                <w:rFonts w:ascii="宋体" w:hAnsi="宋体" w:cs="宋体"/>
                <w:color w:val="auto"/>
                <w:szCs w:val="21"/>
              </w:rPr>
            </w:pPr>
            <w:r>
              <w:rPr>
                <w:rFonts w:hint="eastAsia" w:ascii="宋体" w:hAnsi="宋体" w:cs="宋体"/>
                <w:color w:val="auto"/>
                <w:kern w:val="0"/>
                <w:szCs w:val="21"/>
              </w:rPr>
              <w:t>全年执行数</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14C2">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F51BD">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执行率</w:t>
            </w:r>
          </w:p>
          <w:p w14:paraId="3D218707">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F250">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r>
      <w:tr w14:paraId="0B41DD45">
        <w:tblPrEx>
          <w:tblCellMar>
            <w:top w:w="0" w:type="dxa"/>
            <w:left w:w="28" w:type="dxa"/>
            <w:bottom w:w="0" w:type="dxa"/>
            <w:right w:w="28" w:type="dxa"/>
          </w:tblCellMar>
        </w:tblPrEx>
        <w:trPr>
          <w:trHeight w:val="1080"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F758E">
            <w:pPr>
              <w:jc w:val="center"/>
              <w:rPr>
                <w:rFonts w:ascii="宋体" w:hAnsi="宋体" w:cs="宋体"/>
                <w:color w:val="auto"/>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82F9">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7B0FCDC5">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71C95C01">
            <w:pPr>
              <w:widowControl/>
              <w:jc w:val="center"/>
              <w:textAlignment w:val="center"/>
              <w:rPr>
                <w:rFonts w:ascii="宋体" w:hAnsi="宋体" w:cs="宋体"/>
                <w:color w:val="auto"/>
                <w:szCs w:val="21"/>
              </w:rPr>
            </w:pPr>
            <w:r>
              <w:rPr>
                <w:rFonts w:hint="eastAsia" w:ascii="宋体" w:hAnsi="宋体" w:cs="宋体"/>
                <w:color w:val="auto"/>
                <w:kern w:val="0"/>
                <w:szCs w:val="21"/>
              </w:rPr>
              <w:t>总额</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639F">
            <w:pPr>
              <w:widowControl/>
              <w:jc w:val="center"/>
              <w:textAlignment w:val="center"/>
              <w:rPr>
                <w:rFonts w:ascii="宋体" w:hAnsi="宋体" w:cs="宋体"/>
                <w:color w:val="auto"/>
                <w:szCs w:val="21"/>
              </w:rPr>
            </w:pPr>
            <w:r>
              <w:rPr>
                <w:color w:val="auto"/>
                <w:kern w:val="0"/>
                <w:szCs w:val="21"/>
              </w:rPr>
              <w:t>286</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AC519">
            <w:pPr>
              <w:widowControl/>
              <w:jc w:val="center"/>
              <w:textAlignment w:val="center"/>
              <w:rPr>
                <w:rFonts w:ascii="宋体" w:hAnsi="宋体" w:cs="宋体"/>
                <w:color w:val="auto"/>
                <w:szCs w:val="21"/>
              </w:rPr>
            </w:pPr>
            <w:r>
              <w:rPr>
                <w:color w:val="auto"/>
                <w:kern w:val="0"/>
                <w:szCs w:val="21"/>
              </w:rPr>
              <w:t>286</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00FE8">
            <w:pPr>
              <w:widowControl/>
              <w:jc w:val="center"/>
              <w:textAlignment w:val="center"/>
              <w:rPr>
                <w:rFonts w:ascii="宋体" w:hAnsi="宋体" w:cs="宋体"/>
                <w:color w:val="auto"/>
                <w:szCs w:val="21"/>
              </w:rPr>
            </w:pPr>
            <w:r>
              <w:rPr>
                <w:color w:val="auto"/>
                <w:kern w:val="0"/>
                <w:szCs w:val="21"/>
              </w:rPr>
              <w:t>285</w:t>
            </w:r>
            <w:r>
              <w:rPr>
                <w:rFonts w:hint="eastAsia" w:ascii="宋体" w:hAnsi="宋体" w:cs="宋体"/>
                <w:color w:val="auto"/>
                <w:kern w:val="0"/>
                <w:szCs w:val="21"/>
              </w:rPr>
              <w:t>.</w:t>
            </w:r>
            <w:r>
              <w:rPr>
                <w:color w:val="auto"/>
                <w:kern w:val="0"/>
                <w:szCs w:val="21"/>
              </w:rPr>
              <w:t>42</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7569E">
            <w:pPr>
              <w:widowControl/>
              <w:jc w:val="center"/>
              <w:textAlignment w:val="center"/>
              <w:rPr>
                <w:rFonts w:ascii="宋体" w:hAnsi="宋体" w:cs="宋体"/>
                <w:color w:val="auto"/>
                <w:szCs w:val="21"/>
              </w:rPr>
            </w:pPr>
            <w:r>
              <w:rPr>
                <w:color w:val="auto"/>
                <w:kern w:val="0"/>
                <w:szCs w:val="21"/>
              </w:rPr>
              <w:t>10</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00E23">
            <w:pPr>
              <w:widowControl/>
              <w:jc w:val="center"/>
              <w:textAlignment w:val="center"/>
              <w:rPr>
                <w:rFonts w:ascii="宋体" w:hAnsi="宋体" w:cs="宋体"/>
                <w:color w:val="auto"/>
                <w:szCs w:val="21"/>
              </w:rPr>
            </w:pPr>
            <w:r>
              <w:rPr>
                <w:color w:val="auto"/>
                <w:kern w:val="0"/>
                <w:szCs w:val="21"/>
              </w:rPr>
              <w:t>99</w:t>
            </w:r>
            <w:r>
              <w:rPr>
                <w:rFonts w:hint="eastAsia" w:ascii="宋体" w:hAnsi="宋体" w:cs="宋体"/>
                <w:color w:val="auto"/>
                <w:kern w:val="0"/>
                <w:szCs w:val="21"/>
              </w:rPr>
              <w:t>.</w:t>
            </w:r>
            <w:r>
              <w:rPr>
                <w:color w:val="auto"/>
                <w:kern w:val="0"/>
                <w:szCs w:val="21"/>
              </w:rPr>
              <w:t>80</w:t>
            </w:r>
            <w:r>
              <w:rPr>
                <w:rFonts w:hint="eastAsia" w:ascii="宋体" w:hAnsi="宋体" w:cs="宋体"/>
                <w:color w:val="auto"/>
                <w:kern w:val="0"/>
                <w:szCs w:val="21"/>
              </w:rPr>
              <w:t>%</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29875">
            <w:pPr>
              <w:widowControl/>
              <w:jc w:val="center"/>
              <w:textAlignment w:val="center"/>
              <w:rPr>
                <w:rFonts w:ascii="宋体" w:hAnsi="宋体" w:cs="宋体"/>
                <w:color w:val="auto"/>
                <w:szCs w:val="21"/>
              </w:rPr>
            </w:pPr>
            <w:r>
              <w:rPr>
                <w:color w:val="auto"/>
                <w:kern w:val="0"/>
                <w:szCs w:val="21"/>
              </w:rPr>
              <w:t>9</w:t>
            </w:r>
            <w:r>
              <w:rPr>
                <w:rFonts w:hint="eastAsia" w:ascii="宋体" w:hAnsi="宋体" w:cs="宋体"/>
                <w:color w:val="auto"/>
                <w:kern w:val="0"/>
                <w:szCs w:val="21"/>
              </w:rPr>
              <w:t>.</w:t>
            </w:r>
            <w:r>
              <w:rPr>
                <w:color w:val="auto"/>
                <w:kern w:val="0"/>
                <w:szCs w:val="21"/>
              </w:rPr>
              <w:t>98</w:t>
            </w:r>
          </w:p>
        </w:tc>
      </w:tr>
      <w:tr w14:paraId="18BC54E4">
        <w:tblPrEx>
          <w:tblCellMar>
            <w:top w:w="0" w:type="dxa"/>
            <w:left w:w="28" w:type="dxa"/>
            <w:bottom w:w="0" w:type="dxa"/>
            <w:right w:w="28" w:type="dxa"/>
          </w:tblCellMar>
        </w:tblPrEx>
        <w:trPr>
          <w:trHeight w:val="380"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6123">
            <w:pPr>
              <w:jc w:val="center"/>
              <w:rPr>
                <w:rFonts w:ascii="宋体" w:hAnsi="宋体" w:cs="宋体"/>
                <w:color w:val="auto"/>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64AA">
            <w:pPr>
              <w:widowControl/>
              <w:jc w:val="center"/>
              <w:textAlignment w:val="center"/>
              <w:rPr>
                <w:rFonts w:ascii="宋体" w:hAnsi="宋体" w:cs="宋体"/>
                <w:color w:val="auto"/>
                <w:szCs w:val="21"/>
              </w:rPr>
            </w:pPr>
            <w:r>
              <w:rPr>
                <w:rFonts w:hint="eastAsia" w:ascii="宋体" w:hAnsi="宋体" w:cs="宋体"/>
                <w:color w:val="auto"/>
                <w:kern w:val="0"/>
                <w:szCs w:val="21"/>
              </w:rPr>
              <w:t>其中：财政拨款</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FE0E">
            <w:pPr>
              <w:widowControl/>
              <w:jc w:val="center"/>
              <w:textAlignment w:val="center"/>
              <w:rPr>
                <w:rFonts w:ascii="宋体" w:hAnsi="宋体" w:cs="宋体"/>
                <w:color w:val="auto"/>
                <w:szCs w:val="21"/>
              </w:rPr>
            </w:pPr>
            <w:r>
              <w:rPr>
                <w:color w:val="auto"/>
                <w:kern w:val="0"/>
                <w:szCs w:val="21"/>
              </w:rPr>
              <w:t>286</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2FDAC">
            <w:pPr>
              <w:widowControl/>
              <w:jc w:val="center"/>
              <w:textAlignment w:val="center"/>
              <w:rPr>
                <w:rFonts w:ascii="宋体" w:hAnsi="宋体" w:cs="宋体"/>
                <w:color w:val="auto"/>
                <w:szCs w:val="21"/>
              </w:rPr>
            </w:pPr>
            <w:r>
              <w:rPr>
                <w:color w:val="auto"/>
                <w:kern w:val="0"/>
                <w:szCs w:val="21"/>
              </w:rPr>
              <w:t>286</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695A5">
            <w:pPr>
              <w:widowControl/>
              <w:jc w:val="center"/>
              <w:textAlignment w:val="center"/>
              <w:rPr>
                <w:rFonts w:ascii="宋体" w:hAnsi="宋体" w:cs="宋体"/>
                <w:color w:val="auto"/>
                <w:szCs w:val="21"/>
              </w:rPr>
            </w:pPr>
            <w:r>
              <w:rPr>
                <w:color w:val="auto"/>
                <w:kern w:val="0"/>
                <w:szCs w:val="21"/>
              </w:rPr>
              <w:t>285</w:t>
            </w:r>
            <w:r>
              <w:rPr>
                <w:rFonts w:hint="eastAsia" w:ascii="宋体" w:hAnsi="宋体" w:cs="宋体"/>
                <w:color w:val="auto"/>
                <w:kern w:val="0"/>
                <w:szCs w:val="21"/>
              </w:rPr>
              <w:t>.</w:t>
            </w:r>
            <w:r>
              <w:rPr>
                <w:color w:val="auto"/>
                <w:kern w:val="0"/>
                <w:szCs w:val="21"/>
              </w:rPr>
              <w:t>42</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693C">
            <w:pPr>
              <w:widowControl/>
              <w:jc w:val="center"/>
              <w:textAlignment w:val="center"/>
              <w:rPr>
                <w:rFonts w:ascii="Arial" w:hAnsi="Arial" w:cs="Arial"/>
                <w:color w:val="auto"/>
                <w:szCs w:val="21"/>
              </w:rPr>
            </w:pPr>
            <w:r>
              <w:rPr>
                <w:rFonts w:ascii="Arial" w:hAnsi="Arial" w:cs="Arial"/>
                <w:color w:val="auto"/>
                <w:kern w:val="0"/>
                <w:szCs w:val="21"/>
              </w:rPr>
              <w:t>——</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EF6D7">
            <w:pPr>
              <w:widowControl/>
              <w:jc w:val="center"/>
              <w:textAlignment w:val="center"/>
              <w:rPr>
                <w:color w:val="auto"/>
                <w:szCs w:val="21"/>
              </w:rPr>
            </w:pPr>
            <w:r>
              <w:rPr>
                <w:color w:val="auto"/>
                <w:kern w:val="0"/>
                <w:szCs w:val="21"/>
              </w:rPr>
              <w:t>0</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E531F">
            <w:pPr>
              <w:widowControl/>
              <w:jc w:val="center"/>
              <w:textAlignment w:val="center"/>
              <w:rPr>
                <w:rFonts w:ascii="Arial" w:hAnsi="Arial" w:cs="Arial"/>
                <w:color w:val="auto"/>
                <w:szCs w:val="21"/>
              </w:rPr>
            </w:pPr>
            <w:r>
              <w:rPr>
                <w:rFonts w:ascii="Arial" w:hAnsi="Arial" w:cs="Arial"/>
                <w:color w:val="auto"/>
                <w:kern w:val="0"/>
                <w:szCs w:val="21"/>
              </w:rPr>
              <w:t>——</w:t>
            </w:r>
          </w:p>
        </w:tc>
      </w:tr>
      <w:tr w14:paraId="1F60243A">
        <w:tblPrEx>
          <w:tblCellMar>
            <w:top w:w="0" w:type="dxa"/>
            <w:left w:w="28" w:type="dxa"/>
            <w:bottom w:w="0" w:type="dxa"/>
            <w:right w:w="28" w:type="dxa"/>
          </w:tblCellMar>
        </w:tblPrEx>
        <w:trPr>
          <w:trHeight w:val="1065"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4EBBD">
            <w:pPr>
              <w:jc w:val="center"/>
              <w:rPr>
                <w:rFonts w:ascii="宋体" w:hAnsi="宋体" w:cs="宋体"/>
                <w:color w:val="auto"/>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EE29">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上年</w:t>
            </w:r>
          </w:p>
          <w:p w14:paraId="5008ECBA">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结转</w:t>
            </w:r>
          </w:p>
          <w:p w14:paraId="7317FAB8">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E79A">
            <w:pPr>
              <w:jc w:val="center"/>
              <w:rPr>
                <w:rFonts w:ascii="宋体" w:hAnsi="宋体" w:cs="宋体"/>
                <w:color w:val="auto"/>
                <w:szCs w:val="21"/>
              </w:rPr>
            </w:pP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5E47E">
            <w:pPr>
              <w:jc w:val="center"/>
              <w:rPr>
                <w:rFonts w:ascii="宋体" w:hAnsi="宋体" w:cs="宋体"/>
                <w:color w:val="auto"/>
                <w:szCs w:val="21"/>
              </w:rPr>
            </w:pP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8E1C3">
            <w:pPr>
              <w:jc w:val="center"/>
              <w:rPr>
                <w:rFonts w:ascii="宋体" w:hAnsi="宋体" w:cs="宋体"/>
                <w:color w:val="auto"/>
                <w:szCs w:val="21"/>
              </w:rPr>
            </w:pP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04E70">
            <w:pPr>
              <w:widowControl/>
              <w:jc w:val="center"/>
              <w:textAlignment w:val="center"/>
              <w:rPr>
                <w:rFonts w:ascii="Arial" w:hAnsi="Arial" w:cs="Arial"/>
                <w:color w:val="auto"/>
                <w:szCs w:val="21"/>
              </w:rPr>
            </w:pPr>
            <w:r>
              <w:rPr>
                <w:rFonts w:ascii="Arial" w:hAnsi="Arial" w:cs="Arial"/>
                <w:color w:val="auto"/>
                <w:kern w:val="0"/>
                <w:szCs w:val="21"/>
              </w:rPr>
              <w:t>——</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B7BAA">
            <w:pPr>
              <w:jc w:val="center"/>
              <w:rPr>
                <w:rFonts w:ascii="宋体" w:hAnsi="宋体" w:cs="宋体"/>
                <w:color w:val="auto"/>
                <w:szCs w:val="21"/>
              </w:rPr>
            </w:pP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1547C">
            <w:pPr>
              <w:widowControl/>
              <w:jc w:val="center"/>
              <w:textAlignment w:val="center"/>
              <w:rPr>
                <w:rFonts w:ascii="Arial" w:hAnsi="Arial" w:cs="Arial"/>
                <w:color w:val="auto"/>
                <w:szCs w:val="21"/>
              </w:rPr>
            </w:pPr>
            <w:r>
              <w:rPr>
                <w:rFonts w:ascii="Arial" w:hAnsi="Arial" w:cs="Arial"/>
                <w:color w:val="auto"/>
                <w:kern w:val="0"/>
                <w:szCs w:val="21"/>
              </w:rPr>
              <w:t>——</w:t>
            </w:r>
          </w:p>
        </w:tc>
      </w:tr>
      <w:tr w14:paraId="20BCA8D9">
        <w:tblPrEx>
          <w:tblCellMar>
            <w:top w:w="0" w:type="dxa"/>
            <w:left w:w="28" w:type="dxa"/>
            <w:bottom w:w="0" w:type="dxa"/>
            <w:right w:w="28" w:type="dxa"/>
          </w:tblCellMar>
        </w:tblPrEx>
        <w:trPr>
          <w:trHeight w:val="800"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68A41">
            <w:pPr>
              <w:jc w:val="center"/>
              <w:rPr>
                <w:rFonts w:ascii="宋体" w:hAnsi="宋体" w:cs="宋体"/>
                <w:color w:val="auto"/>
                <w:szCs w:val="21"/>
              </w:rPr>
            </w:pP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BA11">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其他</w:t>
            </w:r>
          </w:p>
          <w:p w14:paraId="2F1BA6ED">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F29D">
            <w:pPr>
              <w:widowControl/>
              <w:jc w:val="center"/>
              <w:textAlignment w:val="center"/>
              <w:rPr>
                <w:color w:val="auto"/>
                <w:szCs w:val="21"/>
              </w:rPr>
            </w:pPr>
            <w:r>
              <w:rPr>
                <w:color w:val="auto"/>
                <w:kern w:val="0"/>
                <w:szCs w:val="21"/>
              </w:rPr>
              <w:t>0</w:t>
            </w:r>
          </w:p>
        </w:tc>
        <w:tc>
          <w:tcPr>
            <w:tcW w:w="1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5E410">
            <w:pPr>
              <w:widowControl/>
              <w:jc w:val="center"/>
              <w:textAlignment w:val="center"/>
              <w:rPr>
                <w:color w:val="auto"/>
                <w:szCs w:val="21"/>
              </w:rPr>
            </w:pPr>
            <w:r>
              <w:rPr>
                <w:color w:val="auto"/>
                <w:kern w:val="0"/>
                <w:szCs w:val="21"/>
              </w:rPr>
              <w:t>0</w:t>
            </w:r>
          </w:p>
        </w:tc>
        <w:tc>
          <w:tcPr>
            <w:tcW w:w="14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77722">
            <w:pPr>
              <w:widowControl/>
              <w:jc w:val="center"/>
              <w:textAlignment w:val="center"/>
              <w:rPr>
                <w:color w:val="auto"/>
                <w:szCs w:val="21"/>
              </w:rPr>
            </w:pPr>
            <w:r>
              <w:rPr>
                <w:color w:val="auto"/>
                <w:kern w:val="0"/>
                <w:szCs w:val="21"/>
              </w:rPr>
              <w:t>0</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D2BCB">
            <w:pPr>
              <w:widowControl/>
              <w:jc w:val="center"/>
              <w:textAlignment w:val="center"/>
              <w:rPr>
                <w:rFonts w:ascii="Arial" w:hAnsi="Arial" w:cs="Arial"/>
                <w:color w:val="auto"/>
                <w:szCs w:val="21"/>
              </w:rPr>
            </w:pPr>
            <w:r>
              <w:rPr>
                <w:rFonts w:ascii="Arial" w:hAnsi="Arial" w:cs="Arial"/>
                <w:color w:val="auto"/>
                <w:kern w:val="0"/>
                <w:szCs w:val="21"/>
              </w:rPr>
              <w:t>——</w:t>
            </w:r>
          </w:p>
        </w:tc>
        <w:tc>
          <w:tcPr>
            <w:tcW w:w="13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6C606">
            <w:pPr>
              <w:widowControl/>
              <w:jc w:val="center"/>
              <w:textAlignment w:val="center"/>
              <w:rPr>
                <w:color w:val="auto"/>
                <w:szCs w:val="21"/>
              </w:rPr>
            </w:pPr>
            <w:r>
              <w:rPr>
                <w:color w:val="auto"/>
                <w:kern w:val="0"/>
                <w:szCs w:val="21"/>
              </w:rPr>
              <w:t>0</w:t>
            </w:r>
          </w:p>
        </w:tc>
        <w:tc>
          <w:tcPr>
            <w:tcW w:w="14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684BC">
            <w:pPr>
              <w:widowControl/>
              <w:jc w:val="center"/>
              <w:textAlignment w:val="center"/>
              <w:rPr>
                <w:rFonts w:ascii="Arial" w:hAnsi="Arial" w:cs="Arial"/>
                <w:color w:val="auto"/>
                <w:szCs w:val="21"/>
              </w:rPr>
            </w:pPr>
            <w:r>
              <w:rPr>
                <w:rFonts w:ascii="Arial" w:hAnsi="Arial" w:cs="Arial"/>
                <w:color w:val="auto"/>
                <w:kern w:val="0"/>
                <w:szCs w:val="21"/>
              </w:rPr>
              <w:t>——</w:t>
            </w:r>
          </w:p>
        </w:tc>
      </w:tr>
      <w:tr w14:paraId="35A5C2D5">
        <w:tblPrEx>
          <w:tblCellMar>
            <w:top w:w="0" w:type="dxa"/>
            <w:left w:w="28" w:type="dxa"/>
            <w:bottom w:w="0" w:type="dxa"/>
            <w:right w:w="28" w:type="dxa"/>
          </w:tblCellMar>
        </w:tblPrEx>
        <w:trPr>
          <w:trHeight w:val="652" w:hRule="atLeast"/>
          <w:jc w:val="center"/>
        </w:trPr>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A47BC">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年度总体</w:t>
            </w:r>
          </w:p>
          <w:p w14:paraId="262A63A7">
            <w:pPr>
              <w:widowControl/>
              <w:jc w:val="center"/>
              <w:textAlignment w:val="center"/>
              <w:rPr>
                <w:rFonts w:ascii="宋体" w:hAnsi="宋体" w:cs="宋体"/>
                <w:color w:val="auto"/>
                <w:szCs w:val="21"/>
              </w:rPr>
            </w:pPr>
            <w:r>
              <w:rPr>
                <w:rFonts w:hint="eastAsia" w:ascii="宋体" w:hAnsi="宋体" w:cs="宋体"/>
                <w:color w:val="auto"/>
                <w:kern w:val="0"/>
                <w:szCs w:val="21"/>
              </w:rPr>
              <w:t>目标</w:t>
            </w:r>
          </w:p>
        </w:tc>
        <w:tc>
          <w:tcPr>
            <w:tcW w:w="4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33A72D">
            <w:pPr>
              <w:widowControl/>
              <w:jc w:val="center"/>
              <w:textAlignment w:val="center"/>
              <w:rPr>
                <w:rFonts w:ascii="宋体" w:hAnsi="宋体" w:cs="宋体"/>
                <w:color w:val="auto"/>
                <w:szCs w:val="21"/>
              </w:rPr>
            </w:pPr>
            <w:r>
              <w:rPr>
                <w:rFonts w:hint="eastAsia" w:ascii="宋体" w:hAnsi="宋体" w:cs="宋体"/>
                <w:color w:val="auto"/>
                <w:kern w:val="0"/>
                <w:szCs w:val="21"/>
              </w:rPr>
              <w:t>预期目标</w:t>
            </w:r>
          </w:p>
        </w:tc>
        <w:tc>
          <w:tcPr>
            <w:tcW w:w="43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9A2090">
            <w:pPr>
              <w:widowControl/>
              <w:jc w:val="center"/>
              <w:textAlignment w:val="center"/>
              <w:rPr>
                <w:rFonts w:ascii="宋体" w:hAnsi="宋体" w:cs="宋体"/>
                <w:color w:val="auto"/>
                <w:szCs w:val="21"/>
              </w:rPr>
            </w:pPr>
            <w:r>
              <w:rPr>
                <w:rFonts w:hint="eastAsia" w:ascii="宋体" w:hAnsi="宋体" w:cs="宋体"/>
                <w:color w:val="auto"/>
                <w:kern w:val="0"/>
                <w:szCs w:val="21"/>
              </w:rPr>
              <w:t>实际完成情况</w:t>
            </w:r>
          </w:p>
        </w:tc>
      </w:tr>
      <w:tr w14:paraId="5D409A46">
        <w:tblPrEx>
          <w:tblCellMar>
            <w:top w:w="0" w:type="dxa"/>
            <w:left w:w="28" w:type="dxa"/>
            <w:bottom w:w="0" w:type="dxa"/>
            <w:right w:w="28" w:type="dxa"/>
          </w:tblCellMar>
        </w:tblPrEx>
        <w:trPr>
          <w:trHeight w:val="5761" w:hRule="atLeast"/>
          <w:jc w:val="center"/>
        </w:trPr>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AB41F">
            <w:pPr>
              <w:jc w:val="center"/>
              <w:rPr>
                <w:rFonts w:ascii="宋体" w:hAnsi="宋体" w:cs="宋体"/>
                <w:color w:val="auto"/>
                <w:szCs w:val="21"/>
              </w:rPr>
            </w:pPr>
          </w:p>
        </w:tc>
        <w:tc>
          <w:tcPr>
            <w:tcW w:w="40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3F8802">
            <w:pPr>
              <w:widowControl/>
              <w:textAlignment w:val="center"/>
              <w:rPr>
                <w:rFonts w:ascii="宋体" w:hAnsi="宋体" w:cs="宋体"/>
                <w:color w:val="auto"/>
                <w:szCs w:val="21"/>
              </w:rPr>
            </w:pPr>
            <w:r>
              <w:rPr>
                <w:rFonts w:hint="eastAsia" w:ascii="宋体" w:hAnsi="宋体" w:cs="宋体"/>
                <w:color w:val="auto"/>
                <w:kern w:val="0"/>
                <w:szCs w:val="21"/>
              </w:rPr>
              <w:t>信息系统运行维护经费用于保障各信息系统正常运转，保障检察业务及工作正常开展，减少系统故障，提高工作质效。</w:t>
            </w:r>
          </w:p>
        </w:tc>
        <w:tc>
          <w:tcPr>
            <w:tcW w:w="430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1A547A">
            <w:pPr>
              <w:widowControl/>
              <w:textAlignment w:val="center"/>
              <w:rPr>
                <w:rFonts w:ascii="宋体" w:hAnsi="宋体" w:cs="宋体"/>
                <w:color w:val="auto"/>
                <w:szCs w:val="21"/>
              </w:rPr>
            </w:pPr>
            <w:r>
              <w:rPr>
                <w:color w:val="auto"/>
                <w:kern w:val="0"/>
                <w:szCs w:val="21"/>
              </w:rPr>
              <w:t>2025</w:t>
            </w:r>
            <w:r>
              <w:rPr>
                <w:rFonts w:hint="eastAsia" w:ascii="宋体" w:hAnsi="宋体" w:cs="宋体"/>
                <w:color w:val="auto"/>
                <w:kern w:val="0"/>
                <w:szCs w:val="21"/>
              </w:rPr>
              <w:t>年度，信息系统运行维护经费项目紧紧围绕检察工作现代化发展需求，严格按照预算和绩效管理要求，扎实有效地推进各项运维保障工作，项目完成情况总体优秀。项目资金执行率为</w:t>
            </w:r>
            <w:r>
              <w:rPr>
                <w:color w:val="auto"/>
                <w:kern w:val="0"/>
                <w:szCs w:val="21"/>
              </w:rPr>
              <w:t>99</w:t>
            </w:r>
            <w:r>
              <w:rPr>
                <w:rFonts w:hint="eastAsia" w:ascii="宋体" w:hAnsi="宋体" w:cs="宋体"/>
                <w:color w:val="auto"/>
                <w:kern w:val="0"/>
                <w:szCs w:val="21"/>
              </w:rPr>
              <w:t>.</w:t>
            </w:r>
            <w:r>
              <w:rPr>
                <w:color w:val="auto"/>
                <w:kern w:val="0"/>
                <w:szCs w:val="21"/>
              </w:rPr>
              <w:t>8</w:t>
            </w:r>
            <w:r>
              <w:rPr>
                <w:rFonts w:hint="eastAsia" w:ascii="宋体" w:hAnsi="宋体" w:cs="宋体"/>
                <w:color w:val="auto"/>
                <w:kern w:val="0"/>
                <w:szCs w:val="21"/>
              </w:rPr>
              <w:t>%，财政资金使用高效规范。在产出方面，全面完成了</w:t>
            </w:r>
            <w:r>
              <w:rPr>
                <w:color w:val="auto"/>
                <w:kern w:val="0"/>
                <w:szCs w:val="21"/>
              </w:rPr>
              <w:t>4</w:t>
            </w:r>
            <w:r>
              <w:rPr>
                <w:rFonts w:hint="eastAsia" w:ascii="宋体" w:hAnsi="宋体" w:cs="宋体"/>
                <w:color w:val="auto"/>
                <w:kern w:val="0"/>
                <w:szCs w:val="21"/>
              </w:rPr>
              <w:t>个信息系统的年度运维任务，及时解决系统问题</w:t>
            </w:r>
            <w:r>
              <w:rPr>
                <w:color w:val="auto"/>
                <w:kern w:val="0"/>
                <w:szCs w:val="21"/>
              </w:rPr>
              <w:t>10</w:t>
            </w:r>
            <w:r>
              <w:rPr>
                <w:rFonts w:hint="eastAsia" w:ascii="宋体" w:hAnsi="宋体" w:cs="宋体"/>
                <w:color w:val="auto"/>
                <w:kern w:val="0"/>
                <w:szCs w:val="21"/>
              </w:rPr>
              <w:t>次，运维质量达标，系统运行故障控制在</w:t>
            </w:r>
            <w:r>
              <w:rPr>
                <w:color w:val="auto"/>
                <w:kern w:val="0"/>
                <w:szCs w:val="21"/>
              </w:rPr>
              <w:t>5</w:t>
            </w:r>
            <w:r>
              <w:rPr>
                <w:rFonts w:hint="eastAsia" w:ascii="宋体" w:hAnsi="宋体" w:cs="宋体"/>
                <w:color w:val="auto"/>
                <w:kern w:val="0"/>
                <w:szCs w:val="21"/>
              </w:rPr>
              <w:t>次以内，所有故障均得到及时有效处置，服务时限得到充分保障。虽个别子系统运维成本略有浮动，但通过加强管控，整体成本控制在预算范围内。项目的实施显著减少了系统故障发生，保障了检察业务正常高效运转，工作质效得到稳步提升，信息系统持续稳定运行超过</w:t>
            </w:r>
            <w:r>
              <w:rPr>
                <w:color w:val="auto"/>
                <w:kern w:val="0"/>
                <w:szCs w:val="21"/>
              </w:rPr>
              <w:t>6</w:t>
            </w:r>
            <w:r>
              <w:rPr>
                <w:rFonts w:hint="eastAsia" w:ascii="宋体" w:hAnsi="宋体" w:cs="宋体"/>
                <w:color w:val="auto"/>
                <w:kern w:val="0"/>
                <w:szCs w:val="21"/>
              </w:rPr>
              <w:t>年，使用人员满意度达</w:t>
            </w:r>
            <w:r>
              <w:rPr>
                <w:color w:val="auto"/>
                <w:kern w:val="0"/>
                <w:szCs w:val="21"/>
              </w:rPr>
              <w:t>90</w:t>
            </w:r>
            <w:r>
              <w:rPr>
                <w:rFonts w:hint="eastAsia" w:ascii="宋体" w:hAnsi="宋体" w:cs="宋体"/>
                <w:color w:val="auto"/>
                <w:kern w:val="0"/>
                <w:szCs w:val="21"/>
              </w:rPr>
              <w:t>%，全面达成了年度绩效目标，为检察工作高质量发展提供了坚实的技术支撑和保障。</w:t>
            </w:r>
          </w:p>
        </w:tc>
      </w:tr>
      <w:tr w14:paraId="3DA9D1C9">
        <w:tblPrEx>
          <w:tblCellMar>
            <w:top w:w="0" w:type="dxa"/>
            <w:left w:w="28" w:type="dxa"/>
            <w:bottom w:w="0" w:type="dxa"/>
            <w:right w:w="28" w:type="dxa"/>
          </w:tblCellMar>
        </w:tblPrEx>
        <w:trPr>
          <w:trHeight w:val="380" w:hRule="atLeast"/>
          <w:jc w:val="center"/>
        </w:trPr>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1F2D">
            <w:pPr>
              <w:widowControl/>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4FF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一级</w:t>
            </w:r>
          </w:p>
          <w:p w14:paraId="6CC9C2BE">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410D">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二级</w:t>
            </w:r>
          </w:p>
          <w:p w14:paraId="47E3E2B8">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893BC">
            <w:pPr>
              <w:widowControl/>
              <w:jc w:val="center"/>
              <w:textAlignment w:val="center"/>
              <w:rPr>
                <w:rFonts w:ascii="宋体" w:hAnsi="宋体" w:cs="宋体"/>
                <w:color w:val="auto"/>
                <w:szCs w:val="21"/>
              </w:rPr>
            </w:pPr>
            <w:r>
              <w:rPr>
                <w:rFonts w:hint="eastAsia" w:ascii="宋体" w:hAnsi="宋体" w:cs="宋体"/>
                <w:color w:val="auto"/>
                <w:kern w:val="0"/>
                <w:szCs w:val="21"/>
              </w:rPr>
              <w:t>三级指标</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A89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指标</w:t>
            </w:r>
          </w:p>
          <w:p w14:paraId="079C61C6">
            <w:pPr>
              <w:widowControl/>
              <w:jc w:val="center"/>
              <w:textAlignment w:val="center"/>
              <w:rPr>
                <w:rFonts w:ascii="宋体" w:hAnsi="宋体" w:cs="宋体"/>
                <w:color w:val="auto"/>
                <w:szCs w:val="21"/>
              </w:rPr>
            </w:pPr>
            <w:r>
              <w:rPr>
                <w:rFonts w:hint="eastAsia" w:ascii="宋体" w:hAnsi="宋体" w:cs="宋体"/>
                <w:color w:val="auto"/>
                <w:kern w:val="0"/>
                <w:szCs w:val="21"/>
              </w:rPr>
              <w:t>性质</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797E">
            <w:pPr>
              <w:widowControl/>
              <w:jc w:val="center"/>
              <w:textAlignment w:val="center"/>
              <w:rPr>
                <w:rFonts w:ascii="宋体" w:hAnsi="宋体" w:cs="宋体"/>
                <w:color w:val="auto"/>
                <w:szCs w:val="21"/>
              </w:rPr>
            </w:pPr>
            <w:r>
              <w:rPr>
                <w:rFonts w:hint="eastAsia" w:ascii="宋体" w:hAnsi="宋体" w:cs="宋体"/>
                <w:color w:val="auto"/>
                <w:kern w:val="0"/>
                <w:szCs w:val="21"/>
              </w:rPr>
              <w:t>指标方向</w:t>
            </w:r>
          </w:p>
        </w:tc>
        <w:tc>
          <w:tcPr>
            <w:tcW w:w="6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244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018010BC">
            <w:pPr>
              <w:widowControl/>
              <w:jc w:val="center"/>
              <w:textAlignment w:val="center"/>
              <w:rPr>
                <w:rFonts w:ascii="宋体" w:hAnsi="宋体" w:cs="宋体"/>
                <w:color w:val="auto"/>
                <w:szCs w:val="21"/>
              </w:rPr>
            </w:pPr>
            <w:r>
              <w:rPr>
                <w:rFonts w:hint="eastAsia" w:ascii="宋体" w:hAnsi="宋体" w:cs="宋体"/>
                <w:color w:val="auto"/>
                <w:kern w:val="0"/>
                <w:szCs w:val="21"/>
              </w:rPr>
              <w:t>指标值</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AC4A">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实际</w:t>
            </w:r>
          </w:p>
          <w:p w14:paraId="2430CAD5">
            <w:pPr>
              <w:widowControl/>
              <w:jc w:val="center"/>
              <w:textAlignment w:val="center"/>
              <w:rPr>
                <w:rFonts w:ascii="宋体" w:hAnsi="宋体" w:cs="宋体"/>
                <w:color w:val="auto"/>
                <w:szCs w:val="21"/>
              </w:rPr>
            </w:pPr>
            <w:r>
              <w:rPr>
                <w:rFonts w:hint="eastAsia" w:ascii="宋体" w:hAnsi="宋体" w:cs="宋体"/>
                <w:color w:val="auto"/>
                <w:kern w:val="0"/>
                <w:szCs w:val="21"/>
              </w:rPr>
              <w:t>完成值</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8BAC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计量</w:t>
            </w:r>
          </w:p>
          <w:p w14:paraId="6CFB3360">
            <w:pPr>
              <w:widowControl/>
              <w:jc w:val="center"/>
              <w:textAlignment w:val="center"/>
              <w:rPr>
                <w:rFonts w:ascii="宋体" w:hAnsi="宋体" w:cs="宋体"/>
                <w:color w:val="auto"/>
                <w:szCs w:val="21"/>
              </w:rPr>
            </w:pPr>
            <w:r>
              <w:rPr>
                <w:rFonts w:hint="eastAsia" w:ascii="宋体" w:hAnsi="宋体" w:cs="宋体"/>
                <w:color w:val="auto"/>
                <w:kern w:val="0"/>
                <w:szCs w:val="21"/>
              </w:rPr>
              <w:t>单位</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1186">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4520">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64C6">
            <w:pPr>
              <w:widowControl/>
              <w:jc w:val="center"/>
              <w:textAlignment w:val="center"/>
              <w:rPr>
                <w:rFonts w:ascii="宋体" w:hAnsi="宋体" w:cs="宋体"/>
                <w:color w:val="auto"/>
                <w:szCs w:val="21"/>
              </w:rPr>
            </w:pPr>
            <w:r>
              <w:rPr>
                <w:rFonts w:hint="eastAsia" w:ascii="宋体" w:hAnsi="宋体" w:cs="宋体"/>
                <w:color w:val="auto"/>
                <w:kern w:val="0"/>
                <w:szCs w:val="21"/>
              </w:rPr>
              <w:t>偏差原因分析及改进措施</w:t>
            </w:r>
          </w:p>
        </w:tc>
      </w:tr>
      <w:tr w14:paraId="3CE8EF1F">
        <w:tblPrEx>
          <w:tblCellMar>
            <w:top w:w="0" w:type="dxa"/>
            <w:left w:w="28" w:type="dxa"/>
            <w:bottom w:w="0" w:type="dxa"/>
            <w:right w:w="28" w:type="dxa"/>
          </w:tblCellMar>
        </w:tblPrEx>
        <w:trPr>
          <w:trHeight w:val="840" w:hRule="atLeast"/>
          <w:jc w:val="center"/>
        </w:trPr>
        <w:tc>
          <w:tcPr>
            <w:tcW w:w="515" w:type="dxa"/>
            <w:vMerge w:val="restart"/>
            <w:tcBorders>
              <w:top w:val="single" w:color="000000" w:sz="4" w:space="0"/>
              <w:left w:val="single" w:color="000000" w:sz="4" w:space="0"/>
              <w:bottom w:val="nil"/>
              <w:right w:val="single" w:color="000000" w:sz="4" w:space="0"/>
            </w:tcBorders>
            <w:shd w:val="clear" w:color="auto" w:fill="auto"/>
            <w:vAlign w:val="center"/>
          </w:tcPr>
          <w:p w14:paraId="0DB80105">
            <w:pPr>
              <w:widowControl/>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7B17D958">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产出</w:t>
            </w:r>
          </w:p>
          <w:p w14:paraId="6D05F959">
            <w:pPr>
              <w:widowControl/>
              <w:jc w:val="center"/>
              <w:textAlignment w:val="center"/>
              <w:rPr>
                <w:rFonts w:ascii="宋体" w:hAnsi="宋体" w:cs="宋体"/>
                <w:color w:val="auto"/>
                <w:szCs w:val="21"/>
              </w:rPr>
            </w:pPr>
            <w:r>
              <w:rPr>
                <w:rFonts w:hint="eastAsia" w:ascii="宋体" w:hAnsi="宋体" w:cs="宋体"/>
                <w:color w:val="auto"/>
                <w:kern w:val="0"/>
                <w:szCs w:val="21"/>
              </w:rPr>
              <w:t>指标(</w:t>
            </w:r>
            <w:r>
              <w:rPr>
                <w:color w:val="auto"/>
                <w:kern w:val="0"/>
                <w:szCs w:val="21"/>
              </w:rPr>
              <w:t>50</w:t>
            </w:r>
            <w:r>
              <w:rPr>
                <w:rFonts w:hint="eastAsia" w:ascii="宋体" w:hAnsi="宋体" w:cs="宋体"/>
                <w:color w:val="auto"/>
                <w:kern w:val="0"/>
                <w:szCs w:val="21"/>
              </w:rPr>
              <w:t>分)</w:t>
            </w: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31068C2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数量</w:t>
            </w:r>
          </w:p>
          <w:p w14:paraId="5CAD4417">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438F7528">
            <w:pPr>
              <w:widowControl/>
              <w:jc w:val="center"/>
              <w:textAlignment w:val="center"/>
              <w:rPr>
                <w:rFonts w:ascii="宋体" w:hAnsi="宋体" w:cs="宋体"/>
                <w:color w:val="auto"/>
                <w:szCs w:val="21"/>
              </w:rPr>
            </w:pPr>
            <w:r>
              <w:rPr>
                <w:rFonts w:hint="eastAsia" w:ascii="宋体" w:hAnsi="宋体" w:cs="宋体"/>
                <w:color w:val="auto"/>
                <w:kern w:val="0"/>
                <w:szCs w:val="21"/>
              </w:rPr>
              <w:t>信息系统运维数量</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75C0EE75">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0D0F808F">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15CBF259">
            <w:pPr>
              <w:widowControl/>
              <w:jc w:val="center"/>
              <w:textAlignment w:val="center"/>
              <w:rPr>
                <w:color w:val="auto"/>
                <w:szCs w:val="21"/>
              </w:rPr>
            </w:pPr>
            <w:r>
              <w:rPr>
                <w:color w:val="auto"/>
                <w:kern w:val="0"/>
                <w:szCs w:val="21"/>
              </w:rPr>
              <w:t>3</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126B4268">
            <w:pPr>
              <w:widowControl/>
              <w:jc w:val="center"/>
              <w:textAlignment w:val="center"/>
              <w:rPr>
                <w:color w:val="auto"/>
                <w:szCs w:val="21"/>
              </w:rPr>
            </w:pPr>
            <w:r>
              <w:rPr>
                <w:color w:val="auto"/>
                <w:kern w:val="0"/>
                <w:szCs w:val="21"/>
              </w:rPr>
              <w:t>4</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3444747D">
            <w:pPr>
              <w:widowControl/>
              <w:jc w:val="center"/>
              <w:textAlignment w:val="center"/>
              <w:rPr>
                <w:rFonts w:ascii="宋体" w:hAnsi="宋体" w:cs="宋体"/>
                <w:color w:val="auto"/>
                <w:szCs w:val="21"/>
              </w:rPr>
            </w:pPr>
            <w:r>
              <w:rPr>
                <w:rFonts w:hint="eastAsia" w:ascii="宋体" w:hAnsi="宋体" w:cs="宋体"/>
                <w:color w:val="auto"/>
                <w:kern w:val="0"/>
                <w:szCs w:val="21"/>
              </w:rPr>
              <w:t>个</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587849EF">
            <w:pPr>
              <w:widowControl/>
              <w:jc w:val="center"/>
              <w:textAlignment w:val="center"/>
              <w:rPr>
                <w:rFonts w:ascii="宋体" w:hAnsi="宋体" w:cs="宋体"/>
                <w:color w:val="auto"/>
                <w:szCs w:val="21"/>
              </w:rPr>
            </w:pPr>
            <w:r>
              <w:rPr>
                <w:color w:val="auto"/>
                <w:kern w:val="0"/>
                <w:szCs w:val="21"/>
              </w:rPr>
              <w:t>10</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71EC455F">
            <w:pPr>
              <w:widowControl/>
              <w:jc w:val="center"/>
              <w:textAlignment w:val="center"/>
              <w:rPr>
                <w:rFonts w:ascii="宋体" w:hAnsi="宋体" w:cs="宋体"/>
                <w:color w:val="auto"/>
                <w:szCs w:val="21"/>
              </w:rPr>
            </w:pPr>
            <w:r>
              <w:rPr>
                <w:color w:val="auto"/>
                <w:kern w:val="0"/>
                <w:szCs w:val="21"/>
              </w:rPr>
              <w:t>10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CD4F676">
            <w:pPr>
              <w:widowControl/>
              <w:jc w:val="center"/>
              <w:textAlignment w:val="center"/>
              <w:rPr>
                <w:rFonts w:ascii="宋体" w:hAnsi="宋体" w:cs="宋体"/>
                <w:color w:val="auto"/>
                <w:szCs w:val="21"/>
              </w:rPr>
            </w:pPr>
          </w:p>
        </w:tc>
      </w:tr>
      <w:tr w14:paraId="52AE46FD">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14242ABC">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ACAB04E">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41221DB9">
            <w:pPr>
              <w:jc w:val="center"/>
              <w:rPr>
                <w:rFonts w:ascii="宋体" w:hAnsi="宋体" w:cs="宋体"/>
                <w:color w:val="auto"/>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50FAAFFB">
            <w:pPr>
              <w:widowControl/>
              <w:jc w:val="center"/>
              <w:textAlignment w:val="center"/>
              <w:rPr>
                <w:rFonts w:ascii="宋体" w:hAnsi="宋体" w:cs="宋体"/>
                <w:color w:val="auto"/>
                <w:szCs w:val="21"/>
              </w:rPr>
            </w:pPr>
            <w:r>
              <w:rPr>
                <w:rFonts w:hint="eastAsia" w:ascii="宋体" w:hAnsi="宋体" w:cs="宋体"/>
                <w:color w:val="auto"/>
                <w:kern w:val="0"/>
                <w:szCs w:val="21"/>
              </w:rPr>
              <w:t>解决系统问题次数</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625A7CCA">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4F571980">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300C43AB">
            <w:pPr>
              <w:widowControl/>
              <w:jc w:val="center"/>
              <w:textAlignment w:val="center"/>
              <w:rPr>
                <w:rFonts w:ascii="宋体" w:hAnsi="宋体" w:cs="宋体"/>
                <w:color w:val="auto"/>
                <w:szCs w:val="21"/>
              </w:rPr>
            </w:pPr>
            <w:r>
              <w:rPr>
                <w:color w:val="auto"/>
                <w:kern w:val="0"/>
                <w:szCs w:val="21"/>
              </w:rPr>
              <w:t>10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0DF3A63C">
            <w:pPr>
              <w:widowControl/>
              <w:jc w:val="center"/>
              <w:textAlignment w:val="center"/>
              <w:rPr>
                <w:rFonts w:ascii="宋体" w:hAnsi="宋体" w:cs="宋体"/>
                <w:color w:val="auto"/>
                <w:szCs w:val="21"/>
              </w:rPr>
            </w:pPr>
            <w:r>
              <w:rPr>
                <w:color w:val="auto"/>
                <w:kern w:val="0"/>
                <w:szCs w:val="21"/>
              </w:rPr>
              <w:t>10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01615BA8">
            <w:pPr>
              <w:widowControl/>
              <w:jc w:val="center"/>
              <w:textAlignment w:val="center"/>
              <w:rPr>
                <w:rFonts w:ascii="宋体" w:hAnsi="宋体" w:cs="宋体"/>
                <w:color w:val="auto"/>
                <w:szCs w:val="21"/>
              </w:rPr>
            </w:pPr>
            <w:r>
              <w:rPr>
                <w:rFonts w:hint="eastAsia" w:ascii="宋体" w:hAnsi="宋体" w:cs="宋体"/>
                <w:color w:val="auto"/>
                <w:kern w:val="0"/>
                <w:szCs w:val="21"/>
              </w:rPr>
              <w:t>次</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7DDF0E9B">
            <w:pPr>
              <w:widowControl/>
              <w:jc w:val="center"/>
              <w:textAlignment w:val="center"/>
              <w:rPr>
                <w:color w:val="auto"/>
                <w:szCs w:val="21"/>
              </w:rPr>
            </w:pPr>
            <w:r>
              <w:rPr>
                <w:color w:val="auto"/>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32CEBB29">
            <w:pPr>
              <w:widowControl/>
              <w:jc w:val="center"/>
              <w:textAlignment w:val="center"/>
              <w:rPr>
                <w:color w:val="auto"/>
                <w:szCs w:val="21"/>
              </w:rPr>
            </w:pPr>
            <w:r>
              <w:rPr>
                <w:color w:val="auto"/>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5AB77DF9">
            <w:pPr>
              <w:jc w:val="center"/>
              <w:rPr>
                <w:rFonts w:ascii="宋体" w:hAnsi="宋体" w:cs="宋体"/>
                <w:color w:val="auto"/>
                <w:szCs w:val="21"/>
              </w:rPr>
            </w:pPr>
          </w:p>
        </w:tc>
      </w:tr>
      <w:tr w14:paraId="19B95111">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12780B9C">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176E520">
            <w:pPr>
              <w:jc w:val="center"/>
              <w:rPr>
                <w:rFonts w:ascii="宋体" w:hAnsi="宋体" w:cs="宋体"/>
                <w:color w:val="auto"/>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2E55211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质量</w:t>
            </w:r>
          </w:p>
          <w:p w14:paraId="1F03F521">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67C5FD34">
            <w:pPr>
              <w:widowControl/>
              <w:jc w:val="center"/>
              <w:textAlignment w:val="center"/>
              <w:rPr>
                <w:rFonts w:ascii="宋体" w:hAnsi="宋体" w:cs="宋体"/>
                <w:color w:val="auto"/>
                <w:szCs w:val="21"/>
              </w:rPr>
            </w:pPr>
            <w:r>
              <w:rPr>
                <w:rFonts w:hint="eastAsia" w:ascii="宋体" w:hAnsi="宋体" w:cs="宋体"/>
                <w:color w:val="auto"/>
                <w:kern w:val="0"/>
                <w:szCs w:val="21"/>
              </w:rPr>
              <w:t>信息系统维护质量</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45CCFE39">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63BA6ACF">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226999F2">
            <w:pPr>
              <w:widowControl/>
              <w:jc w:val="center"/>
              <w:textAlignment w:val="center"/>
              <w:rPr>
                <w:rFonts w:ascii="宋体" w:hAnsi="宋体" w:cs="宋体"/>
                <w:color w:val="auto"/>
                <w:szCs w:val="21"/>
              </w:rPr>
            </w:pPr>
            <w:r>
              <w:rPr>
                <w:color w:val="auto"/>
                <w:kern w:val="0"/>
                <w:szCs w:val="21"/>
              </w:rPr>
              <w:t>90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56458A93">
            <w:pPr>
              <w:widowControl/>
              <w:jc w:val="center"/>
              <w:textAlignment w:val="center"/>
              <w:rPr>
                <w:rFonts w:ascii="宋体" w:hAnsi="宋体" w:cs="宋体"/>
                <w:color w:val="auto"/>
                <w:szCs w:val="21"/>
              </w:rPr>
            </w:pPr>
            <w:r>
              <w:rPr>
                <w:color w:val="auto"/>
                <w:kern w:val="0"/>
                <w:szCs w:val="21"/>
              </w:rPr>
              <w:t>90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1BB18A1F">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13CA2FD4">
            <w:pPr>
              <w:widowControl/>
              <w:jc w:val="center"/>
              <w:textAlignment w:val="center"/>
              <w:rPr>
                <w:color w:val="auto"/>
                <w:szCs w:val="21"/>
              </w:rPr>
            </w:pPr>
            <w:r>
              <w:rPr>
                <w:color w:val="auto"/>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77783EC0">
            <w:pPr>
              <w:widowControl/>
              <w:jc w:val="center"/>
              <w:textAlignment w:val="center"/>
              <w:rPr>
                <w:color w:val="auto"/>
                <w:szCs w:val="21"/>
              </w:rPr>
            </w:pPr>
            <w:r>
              <w:rPr>
                <w:color w:val="auto"/>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22B4232E">
            <w:pPr>
              <w:jc w:val="center"/>
              <w:rPr>
                <w:rFonts w:ascii="宋体" w:hAnsi="宋体" w:cs="宋体"/>
                <w:color w:val="auto"/>
                <w:szCs w:val="21"/>
              </w:rPr>
            </w:pPr>
          </w:p>
        </w:tc>
      </w:tr>
      <w:tr w14:paraId="124A6CED">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7AC44FFF">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53BD2E4A">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58742082">
            <w:pPr>
              <w:jc w:val="center"/>
              <w:rPr>
                <w:rFonts w:ascii="宋体" w:hAnsi="宋体" w:cs="宋体"/>
                <w:color w:val="auto"/>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1FDDD337">
            <w:pPr>
              <w:widowControl/>
              <w:jc w:val="center"/>
              <w:textAlignment w:val="center"/>
              <w:rPr>
                <w:rFonts w:ascii="宋体" w:hAnsi="宋体" w:cs="宋体"/>
                <w:color w:val="auto"/>
                <w:szCs w:val="21"/>
              </w:rPr>
            </w:pPr>
            <w:r>
              <w:rPr>
                <w:rFonts w:hint="eastAsia" w:ascii="宋体" w:hAnsi="宋体" w:cs="宋体"/>
                <w:color w:val="auto"/>
                <w:kern w:val="0"/>
                <w:szCs w:val="21"/>
              </w:rPr>
              <w:t>系统运行故障</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566A2540">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247F5CB4">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132AB71F">
            <w:pPr>
              <w:widowControl/>
              <w:jc w:val="center"/>
              <w:textAlignment w:val="center"/>
              <w:rPr>
                <w:color w:val="auto"/>
                <w:szCs w:val="21"/>
              </w:rPr>
            </w:pPr>
            <w:r>
              <w:rPr>
                <w:color w:val="auto"/>
                <w:kern w:val="0"/>
                <w:szCs w:val="21"/>
              </w:rPr>
              <w:t>5</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08212930">
            <w:pPr>
              <w:widowControl/>
              <w:jc w:val="center"/>
              <w:textAlignment w:val="center"/>
              <w:rPr>
                <w:color w:val="auto"/>
                <w:szCs w:val="21"/>
              </w:rPr>
            </w:pPr>
            <w:r>
              <w:rPr>
                <w:color w:val="auto"/>
                <w:kern w:val="0"/>
                <w:szCs w:val="21"/>
              </w:rPr>
              <w:t>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6ECBEE7">
            <w:pPr>
              <w:widowControl/>
              <w:jc w:val="center"/>
              <w:textAlignment w:val="center"/>
              <w:rPr>
                <w:rFonts w:ascii="宋体" w:hAnsi="宋体" w:cs="宋体"/>
                <w:color w:val="auto"/>
                <w:szCs w:val="21"/>
              </w:rPr>
            </w:pPr>
            <w:r>
              <w:rPr>
                <w:rFonts w:hint="eastAsia" w:ascii="宋体" w:hAnsi="宋体" w:cs="宋体"/>
                <w:color w:val="auto"/>
                <w:kern w:val="0"/>
                <w:szCs w:val="21"/>
              </w:rPr>
              <w:t>次</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65D905F8">
            <w:pPr>
              <w:widowControl/>
              <w:jc w:val="center"/>
              <w:textAlignment w:val="center"/>
              <w:rPr>
                <w:rFonts w:ascii="宋体" w:hAnsi="宋体" w:cs="宋体"/>
                <w:color w:val="auto"/>
                <w:szCs w:val="21"/>
              </w:rPr>
            </w:pPr>
            <w:r>
              <w:rPr>
                <w:color w:val="auto"/>
                <w:kern w:val="0"/>
                <w:szCs w:val="21"/>
              </w:rPr>
              <w:t>10</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42916A16">
            <w:pPr>
              <w:widowControl/>
              <w:jc w:val="center"/>
              <w:textAlignment w:val="center"/>
              <w:rPr>
                <w:rFonts w:ascii="宋体" w:hAnsi="宋体" w:cs="宋体"/>
                <w:color w:val="auto"/>
                <w:szCs w:val="21"/>
              </w:rPr>
            </w:pPr>
            <w:r>
              <w:rPr>
                <w:color w:val="auto"/>
                <w:kern w:val="0"/>
                <w:szCs w:val="21"/>
              </w:rPr>
              <w:t>10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30CC395A">
            <w:pPr>
              <w:jc w:val="center"/>
              <w:rPr>
                <w:rFonts w:ascii="宋体" w:hAnsi="宋体" w:cs="宋体"/>
                <w:color w:val="auto"/>
                <w:szCs w:val="21"/>
              </w:rPr>
            </w:pPr>
          </w:p>
        </w:tc>
      </w:tr>
      <w:tr w14:paraId="6B7E87E6">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7B2B1A40">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441B6514">
            <w:pPr>
              <w:jc w:val="center"/>
              <w:rPr>
                <w:rFonts w:ascii="宋体" w:hAnsi="宋体" w:cs="宋体"/>
                <w:color w:val="auto"/>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6D681E4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时效</w:t>
            </w:r>
          </w:p>
          <w:p w14:paraId="1E76E9AD">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1E23FE0">
            <w:pPr>
              <w:widowControl/>
              <w:jc w:val="center"/>
              <w:textAlignment w:val="center"/>
              <w:rPr>
                <w:rFonts w:ascii="宋体" w:hAnsi="宋体" w:cs="宋体"/>
                <w:color w:val="auto"/>
                <w:szCs w:val="21"/>
              </w:rPr>
            </w:pPr>
            <w:r>
              <w:rPr>
                <w:rFonts w:hint="eastAsia" w:ascii="宋体" w:hAnsi="宋体" w:cs="宋体"/>
                <w:color w:val="auto"/>
                <w:kern w:val="0"/>
                <w:szCs w:val="21"/>
              </w:rPr>
              <w:t>信息系统故障维护及时率</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4C653D3B">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0AB7C869">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55DD42B9">
            <w:pPr>
              <w:widowControl/>
              <w:jc w:val="center"/>
              <w:textAlignment w:val="center"/>
              <w:rPr>
                <w:rFonts w:ascii="宋体" w:hAnsi="宋体" w:cs="宋体"/>
                <w:color w:val="auto"/>
                <w:szCs w:val="21"/>
              </w:rPr>
            </w:pPr>
            <w:r>
              <w:rPr>
                <w:color w:val="auto"/>
                <w:kern w:val="0"/>
                <w:szCs w:val="21"/>
              </w:rPr>
              <w:t>90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59AFF5B5">
            <w:pPr>
              <w:widowControl/>
              <w:jc w:val="center"/>
              <w:textAlignment w:val="center"/>
              <w:rPr>
                <w:rFonts w:ascii="宋体" w:hAnsi="宋体" w:cs="宋体"/>
                <w:color w:val="auto"/>
                <w:szCs w:val="21"/>
              </w:rPr>
            </w:pPr>
            <w:r>
              <w:rPr>
                <w:color w:val="auto"/>
                <w:kern w:val="0"/>
                <w:szCs w:val="21"/>
              </w:rPr>
              <w:t>90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516B00A">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6A4C5169">
            <w:pPr>
              <w:widowControl/>
              <w:jc w:val="center"/>
              <w:textAlignment w:val="center"/>
              <w:rPr>
                <w:color w:val="auto"/>
                <w:szCs w:val="21"/>
              </w:rPr>
            </w:pPr>
            <w:r>
              <w:rPr>
                <w:color w:val="auto"/>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2DAC8EA4">
            <w:pPr>
              <w:widowControl/>
              <w:jc w:val="center"/>
              <w:textAlignment w:val="center"/>
              <w:rPr>
                <w:color w:val="auto"/>
                <w:szCs w:val="21"/>
              </w:rPr>
            </w:pPr>
            <w:r>
              <w:rPr>
                <w:color w:val="auto"/>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35FF58AA">
            <w:pPr>
              <w:jc w:val="center"/>
              <w:rPr>
                <w:rFonts w:ascii="宋体" w:hAnsi="宋体" w:cs="宋体"/>
                <w:color w:val="auto"/>
                <w:szCs w:val="21"/>
              </w:rPr>
            </w:pPr>
          </w:p>
        </w:tc>
      </w:tr>
      <w:tr w14:paraId="0EE3E57F">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1D1D4A6C">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7E228D92">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A76D500">
            <w:pPr>
              <w:jc w:val="center"/>
              <w:rPr>
                <w:rFonts w:ascii="宋体" w:hAnsi="宋体" w:cs="宋体"/>
                <w:color w:val="auto"/>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2676F381">
            <w:pPr>
              <w:widowControl/>
              <w:jc w:val="center"/>
              <w:textAlignment w:val="center"/>
              <w:rPr>
                <w:rFonts w:ascii="宋体" w:hAnsi="宋体" w:cs="宋体"/>
                <w:color w:val="auto"/>
                <w:szCs w:val="21"/>
              </w:rPr>
            </w:pPr>
            <w:r>
              <w:rPr>
                <w:rFonts w:hint="eastAsia" w:ascii="宋体" w:hAnsi="宋体" w:cs="宋体"/>
                <w:color w:val="auto"/>
                <w:kern w:val="0"/>
                <w:szCs w:val="21"/>
              </w:rPr>
              <w:t>信息系统运维服务时限</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A0B3641">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284209BC">
            <w:pPr>
              <w:widowControl/>
              <w:jc w:val="center"/>
              <w:textAlignment w:val="center"/>
              <w:rPr>
                <w:rFonts w:ascii="宋体" w:hAnsi="宋体" w:cs="宋体"/>
                <w:color w:val="auto"/>
                <w:szCs w:val="21"/>
              </w:rPr>
            </w:pPr>
            <w:r>
              <w:rPr>
                <w:rFonts w:hint="eastAsia" w:ascii="宋体" w:hAnsi="宋体" w:cs="宋体"/>
                <w:color w:val="auto"/>
                <w:kern w:val="0"/>
                <w:szCs w:val="21"/>
              </w:rPr>
              <w:t>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4CDD42C4">
            <w:pPr>
              <w:widowControl/>
              <w:jc w:val="center"/>
              <w:textAlignment w:val="center"/>
              <w:rPr>
                <w:color w:val="auto"/>
                <w:szCs w:val="21"/>
              </w:rPr>
            </w:pPr>
            <w:r>
              <w:rPr>
                <w:color w:val="auto"/>
                <w:kern w:val="0"/>
                <w:szCs w:val="21"/>
              </w:rPr>
              <w:t>1</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0F26B4F9">
            <w:pPr>
              <w:widowControl/>
              <w:jc w:val="center"/>
              <w:textAlignment w:val="center"/>
              <w:rPr>
                <w:color w:val="auto"/>
                <w:szCs w:val="21"/>
              </w:rPr>
            </w:pPr>
            <w:r>
              <w:rPr>
                <w:color w:val="auto"/>
                <w:kern w:val="0"/>
                <w:szCs w:val="21"/>
              </w:rPr>
              <w:t>1</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5F30D1BA">
            <w:pPr>
              <w:widowControl/>
              <w:jc w:val="center"/>
              <w:textAlignment w:val="center"/>
              <w:rPr>
                <w:rFonts w:ascii="宋体" w:hAnsi="宋体" w:cs="宋体"/>
                <w:color w:val="auto"/>
                <w:szCs w:val="21"/>
              </w:rPr>
            </w:pPr>
            <w:r>
              <w:rPr>
                <w:rFonts w:hint="eastAsia" w:ascii="宋体" w:hAnsi="宋体" w:cs="宋体"/>
                <w:color w:val="auto"/>
                <w:kern w:val="0"/>
                <w:szCs w:val="21"/>
              </w:rPr>
              <w:t>年</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A295FBA">
            <w:pPr>
              <w:widowControl/>
              <w:jc w:val="center"/>
              <w:textAlignment w:val="center"/>
              <w:rPr>
                <w:color w:val="auto"/>
                <w:szCs w:val="21"/>
              </w:rPr>
            </w:pPr>
            <w:r>
              <w:rPr>
                <w:color w:val="auto"/>
                <w:kern w:val="0"/>
                <w:szCs w:val="21"/>
              </w:rPr>
              <w:t>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11779648">
            <w:pPr>
              <w:widowControl/>
              <w:jc w:val="center"/>
              <w:textAlignment w:val="center"/>
              <w:rPr>
                <w:color w:val="auto"/>
                <w:szCs w:val="21"/>
              </w:rPr>
            </w:pPr>
            <w:r>
              <w:rPr>
                <w:color w:val="auto"/>
                <w:kern w:val="0"/>
                <w:szCs w:val="21"/>
              </w:rPr>
              <w:t>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1A20BF7">
            <w:pPr>
              <w:jc w:val="center"/>
              <w:rPr>
                <w:rFonts w:ascii="宋体" w:hAnsi="宋体" w:cs="宋体"/>
                <w:color w:val="auto"/>
                <w:szCs w:val="21"/>
              </w:rPr>
            </w:pPr>
          </w:p>
        </w:tc>
      </w:tr>
      <w:tr w14:paraId="5CFEB797">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2C0AF8DC">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1C520D94">
            <w:pPr>
              <w:jc w:val="center"/>
              <w:rPr>
                <w:rFonts w:ascii="宋体" w:hAnsi="宋体" w:cs="宋体"/>
                <w:color w:val="auto"/>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1FB16DF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成本</w:t>
            </w:r>
          </w:p>
          <w:p w14:paraId="16B20A2F">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75711B23">
            <w:pPr>
              <w:widowControl/>
              <w:jc w:val="center"/>
              <w:textAlignment w:val="center"/>
              <w:rPr>
                <w:rFonts w:ascii="宋体" w:hAnsi="宋体" w:cs="宋体"/>
                <w:color w:val="auto"/>
                <w:szCs w:val="21"/>
              </w:rPr>
            </w:pPr>
            <w:r>
              <w:rPr>
                <w:rFonts w:hint="eastAsia" w:ascii="宋体" w:hAnsi="宋体" w:cs="宋体"/>
                <w:color w:val="auto"/>
                <w:kern w:val="0"/>
                <w:szCs w:val="21"/>
              </w:rPr>
              <w:t>统一业务系统运维成本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3DD753C2">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74A0FEB5">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48436A98">
            <w:pPr>
              <w:widowControl/>
              <w:jc w:val="center"/>
              <w:textAlignment w:val="center"/>
              <w:rPr>
                <w:rFonts w:ascii="宋体" w:hAnsi="宋体" w:cs="宋体"/>
                <w:color w:val="auto"/>
                <w:szCs w:val="21"/>
              </w:rPr>
            </w:pPr>
            <w:r>
              <w:rPr>
                <w:color w:val="auto"/>
                <w:kern w:val="0"/>
                <w:szCs w:val="21"/>
              </w:rPr>
              <w:t>183</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40B23A36">
            <w:pPr>
              <w:widowControl/>
              <w:jc w:val="center"/>
              <w:textAlignment w:val="center"/>
              <w:rPr>
                <w:rFonts w:ascii="宋体" w:hAnsi="宋体" w:cs="宋体"/>
                <w:color w:val="auto"/>
                <w:szCs w:val="21"/>
              </w:rPr>
            </w:pPr>
            <w:r>
              <w:rPr>
                <w:color w:val="auto"/>
                <w:kern w:val="0"/>
                <w:szCs w:val="21"/>
              </w:rPr>
              <w:t>183</w:t>
            </w:r>
            <w:r>
              <w:rPr>
                <w:rFonts w:hint="eastAsia" w:ascii="宋体" w:hAnsi="宋体" w:cs="宋体"/>
                <w:color w:val="auto"/>
                <w:kern w:val="0"/>
                <w:szCs w:val="21"/>
              </w:rPr>
              <w:t>.</w:t>
            </w:r>
            <w:r>
              <w:rPr>
                <w:color w:val="auto"/>
                <w:kern w:val="0"/>
                <w:szCs w:val="21"/>
              </w:rPr>
              <w:t>6</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5314B913">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0013FE4A">
            <w:pPr>
              <w:widowControl/>
              <w:jc w:val="center"/>
              <w:textAlignment w:val="center"/>
              <w:rPr>
                <w:color w:val="auto"/>
                <w:szCs w:val="21"/>
              </w:rPr>
            </w:pPr>
            <w:r>
              <w:rPr>
                <w:color w:val="auto"/>
                <w:kern w:val="0"/>
                <w:szCs w:val="21"/>
              </w:rPr>
              <w:t>2</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44D8CAE4">
            <w:pPr>
              <w:widowControl/>
              <w:jc w:val="center"/>
              <w:textAlignment w:val="center"/>
              <w:rPr>
                <w:color w:val="auto"/>
                <w:szCs w:val="21"/>
              </w:rPr>
            </w:pPr>
            <w:r>
              <w:rPr>
                <w:color w:val="auto"/>
                <w:kern w:val="0"/>
                <w:szCs w:val="21"/>
              </w:rPr>
              <w:t>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70316D62">
            <w:pPr>
              <w:jc w:val="center"/>
              <w:rPr>
                <w:rFonts w:ascii="宋体" w:hAnsi="宋体" w:cs="宋体"/>
                <w:color w:val="auto"/>
                <w:szCs w:val="21"/>
              </w:rPr>
            </w:pPr>
          </w:p>
        </w:tc>
      </w:tr>
      <w:tr w14:paraId="3140A7DF">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4C6AC0E5">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4F9B3D4A">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04D199A5">
            <w:pPr>
              <w:jc w:val="center"/>
              <w:rPr>
                <w:rFonts w:ascii="宋体" w:hAnsi="宋体" w:cs="宋体"/>
                <w:color w:val="auto"/>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6840C56B">
            <w:pPr>
              <w:widowControl/>
              <w:jc w:val="center"/>
              <w:textAlignment w:val="center"/>
              <w:rPr>
                <w:rFonts w:ascii="宋体" w:hAnsi="宋体" w:cs="宋体"/>
                <w:color w:val="auto"/>
                <w:szCs w:val="21"/>
              </w:rPr>
            </w:pPr>
            <w:r>
              <w:rPr>
                <w:rFonts w:hint="eastAsia" w:ascii="宋体" w:hAnsi="宋体" w:cs="宋体"/>
                <w:color w:val="auto"/>
                <w:kern w:val="0"/>
                <w:szCs w:val="21"/>
              </w:rPr>
              <w:t>机要通道电子签章系统运维成本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1D5B19E5">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828F190">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6F3BCF25">
            <w:pPr>
              <w:widowControl/>
              <w:jc w:val="center"/>
              <w:textAlignment w:val="center"/>
              <w:rPr>
                <w:rFonts w:ascii="宋体" w:hAnsi="宋体" w:cs="宋体"/>
                <w:color w:val="auto"/>
                <w:szCs w:val="21"/>
              </w:rPr>
            </w:pPr>
            <w:r>
              <w:rPr>
                <w:color w:val="auto"/>
                <w:kern w:val="0"/>
                <w:szCs w:val="21"/>
              </w:rPr>
              <w:t>76</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4090E859">
            <w:pPr>
              <w:widowControl/>
              <w:jc w:val="center"/>
              <w:textAlignment w:val="center"/>
              <w:rPr>
                <w:rFonts w:ascii="宋体" w:hAnsi="宋体" w:cs="宋体"/>
                <w:color w:val="auto"/>
                <w:szCs w:val="21"/>
              </w:rPr>
            </w:pPr>
            <w:r>
              <w:rPr>
                <w:color w:val="auto"/>
                <w:kern w:val="0"/>
                <w:szCs w:val="21"/>
              </w:rPr>
              <w:t>75</w:t>
            </w:r>
            <w:r>
              <w:rPr>
                <w:rFonts w:hint="eastAsia" w:ascii="宋体" w:hAnsi="宋体" w:cs="宋体"/>
                <w:color w:val="auto"/>
                <w:kern w:val="0"/>
                <w:szCs w:val="21"/>
              </w:rPr>
              <w:t>.</w:t>
            </w:r>
            <w:r>
              <w:rPr>
                <w:color w:val="auto"/>
                <w:kern w:val="0"/>
                <w:szCs w:val="21"/>
              </w:rPr>
              <w:t>84</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F641391">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6A98B8E7">
            <w:pPr>
              <w:widowControl/>
              <w:jc w:val="center"/>
              <w:textAlignment w:val="center"/>
              <w:rPr>
                <w:color w:val="auto"/>
                <w:szCs w:val="21"/>
              </w:rPr>
            </w:pPr>
            <w:r>
              <w:rPr>
                <w:color w:val="auto"/>
                <w:kern w:val="0"/>
                <w:szCs w:val="21"/>
              </w:rPr>
              <w:t>3</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70C00230">
            <w:pPr>
              <w:widowControl/>
              <w:jc w:val="center"/>
              <w:textAlignment w:val="center"/>
              <w:rPr>
                <w:color w:val="auto"/>
                <w:szCs w:val="21"/>
              </w:rPr>
            </w:pPr>
            <w:r>
              <w:rPr>
                <w:color w:val="auto"/>
                <w:kern w:val="0"/>
                <w:szCs w:val="21"/>
              </w:rPr>
              <w:t>3</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6A875407">
            <w:pPr>
              <w:jc w:val="center"/>
              <w:rPr>
                <w:rFonts w:ascii="宋体" w:hAnsi="宋体" w:cs="宋体"/>
                <w:color w:val="auto"/>
                <w:szCs w:val="21"/>
              </w:rPr>
            </w:pPr>
          </w:p>
        </w:tc>
      </w:tr>
      <w:tr w14:paraId="532B2F34">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7472D5F9">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137DB0E">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303F98F2">
            <w:pPr>
              <w:jc w:val="center"/>
              <w:rPr>
                <w:rFonts w:ascii="宋体" w:hAnsi="宋体" w:cs="宋体"/>
                <w:color w:val="auto"/>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BB712FF">
            <w:pPr>
              <w:widowControl/>
              <w:jc w:val="center"/>
              <w:textAlignment w:val="center"/>
              <w:rPr>
                <w:rFonts w:ascii="宋体" w:hAnsi="宋体" w:cs="宋体"/>
                <w:color w:val="auto"/>
                <w:szCs w:val="21"/>
              </w:rPr>
            </w:pPr>
            <w:r>
              <w:rPr>
                <w:rFonts w:hint="eastAsia" w:ascii="宋体" w:hAnsi="宋体" w:cs="宋体"/>
                <w:color w:val="auto"/>
                <w:kern w:val="0"/>
                <w:szCs w:val="21"/>
              </w:rPr>
              <w:t>执法执勤车辆系统运维成本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2C480CE6">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378B63A">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50626F4D">
            <w:pPr>
              <w:widowControl/>
              <w:jc w:val="center"/>
              <w:textAlignment w:val="center"/>
              <w:rPr>
                <w:rFonts w:ascii="宋体" w:hAnsi="宋体" w:cs="宋体"/>
                <w:color w:val="auto"/>
                <w:szCs w:val="21"/>
              </w:rPr>
            </w:pPr>
            <w:r>
              <w:rPr>
                <w:color w:val="auto"/>
                <w:kern w:val="0"/>
                <w:szCs w:val="21"/>
              </w:rPr>
              <w:t>14</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32E4F288">
            <w:pPr>
              <w:widowControl/>
              <w:jc w:val="center"/>
              <w:textAlignment w:val="center"/>
              <w:rPr>
                <w:rFonts w:ascii="宋体" w:hAnsi="宋体" w:cs="宋体"/>
                <w:color w:val="auto"/>
                <w:szCs w:val="21"/>
              </w:rPr>
            </w:pPr>
            <w:r>
              <w:rPr>
                <w:color w:val="auto"/>
                <w:kern w:val="0"/>
                <w:szCs w:val="21"/>
              </w:rPr>
              <w:t>12</w:t>
            </w:r>
            <w:r>
              <w:rPr>
                <w:rFonts w:hint="eastAsia" w:ascii="宋体" w:hAnsi="宋体" w:cs="宋体"/>
                <w:color w:val="auto"/>
                <w:kern w:val="0"/>
                <w:szCs w:val="21"/>
              </w:rPr>
              <w:t>.</w:t>
            </w:r>
            <w:r>
              <w:rPr>
                <w:color w:val="auto"/>
                <w:kern w:val="0"/>
                <w:szCs w:val="21"/>
              </w:rPr>
              <w:t>83</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16783AD">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42C6B60C">
            <w:pPr>
              <w:widowControl/>
              <w:jc w:val="center"/>
              <w:textAlignment w:val="center"/>
              <w:rPr>
                <w:color w:val="auto"/>
                <w:szCs w:val="21"/>
              </w:rPr>
            </w:pPr>
            <w:r>
              <w:rPr>
                <w:color w:val="auto"/>
                <w:kern w:val="0"/>
                <w:szCs w:val="21"/>
              </w:rPr>
              <w:t>3</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69337C11">
            <w:pPr>
              <w:widowControl/>
              <w:jc w:val="center"/>
              <w:textAlignment w:val="center"/>
              <w:rPr>
                <w:color w:val="auto"/>
                <w:szCs w:val="21"/>
              </w:rPr>
            </w:pPr>
            <w:r>
              <w:rPr>
                <w:color w:val="auto"/>
                <w:kern w:val="0"/>
                <w:szCs w:val="21"/>
              </w:rPr>
              <w:t>3</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52AB1E54">
            <w:pPr>
              <w:jc w:val="center"/>
              <w:rPr>
                <w:rFonts w:ascii="宋体" w:hAnsi="宋体" w:cs="宋体"/>
                <w:color w:val="auto"/>
                <w:szCs w:val="21"/>
              </w:rPr>
            </w:pPr>
          </w:p>
        </w:tc>
      </w:tr>
      <w:tr w14:paraId="274A4E29">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5044BEB4">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7BE607E9">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2F91AF00">
            <w:pPr>
              <w:jc w:val="center"/>
              <w:rPr>
                <w:rFonts w:ascii="宋体" w:hAnsi="宋体" w:cs="宋体"/>
                <w:color w:val="auto"/>
                <w:szCs w:val="21"/>
              </w:rPr>
            </w:pPr>
          </w:p>
        </w:tc>
        <w:tc>
          <w:tcPr>
            <w:tcW w:w="928" w:type="dxa"/>
            <w:tcBorders>
              <w:top w:val="single" w:color="000000" w:sz="4" w:space="0"/>
              <w:left w:val="single" w:color="000000" w:sz="4" w:space="0"/>
              <w:bottom w:val="nil"/>
              <w:right w:val="single" w:color="000000" w:sz="4" w:space="0"/>
            </w:tcBorders>
            <w:shd w:val="clear" w:color="auto" w:fill="auto"/>
            <w:vAlign w:val="center"/>
          </w:tcPr>
          <w:p w14:paraId="00D06902">
            <w:pPr>
              <w:widowControl/>
              <w:jc w:val="center"/>
              <w:textAlignment w:val="center"/>
              <w:rPr>
                <w:rFonts w:ascii="宋体" w:hAnsi="宋体" w:cs="宋体"/>
                <w:color w:val="auto"/>
                <w:szCs w:val="21"/>
              </w:rPr>
            </w:pPr>
            <w:r>
              <w:rPr>
                <w:rFonts w:hint="eastAsia" w:ascii="宋体" w:hAnsi="宋体" w:cs="宋体"/>
                <w:color w:val="auto"/>
                <w:kern w:val="0"/>
                <w:szCs w:val="21"/>
              </w:rPr>
              <w:t>蒙古文数字平台运维成本</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0B5E65CC">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181C9860">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5754BE63">
            <w:pPr>
              <w:widowControl/>
              <w:jc w:val="center"/>
              <w:textAlignment w:val="center"/>
              <w:rPr>
                <w:rFonts w:ascii="宋体" w:hAnsi="宋体" w:cs="宋体"/>
                <w:color w:val="auto"/>
                <w:szCs w:val="21"/>
              </w:rPr>
            </w:pPr>
            <w:r>
              <w:rPr>
                <w:color w:val="auto"/>
                <w:kern w:val="0"/>
                <w:szCs w:val="21"/>
              </w:rPr>
              <w:t>13</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DC41A0F">
            <w:pPr>
              <w:widowControl/>
              <w:jc w:val="center"/>
              <w:textAlignment w:val="center"/>
              <w:rPr>
                <w:rFonts w:ascii="宋体" w:hAnsi="宋体" w:cs="宋体"/>
                <w:color w:val="auto"/>
                <w:szCs w:val="21"/>
              </w:rPr>
            </w:pPr>
            <w:r>
              <w:rPr>
                <w:color w:val="auto"/>
                <w:kern w:val="0"/>
                <w:szCs w:val="21"/>
              </w:rPr>
              <w:t>13</w:t>
            </w:r>
            <w:r>
              <w:rPr>
                <w:rFonts w:hint="eastAsia" w:ascii="宋体" w:hAnsi="宋体" w:cs="宋体"/>
                <w:color w:val="auto"/>
                <w:kern w:val="0"/>
                <w:szCs w:val="21"/>
              </w:rPr>
              <w:t>.</w:t>
            </w:r>
            <w:r>
              <w:rPr>
                <w:color w:val="auto"/>
                <w:kern w:val="0"/>
                <w:szCs w:val="21"/>
              </w:rPr>
              <w:t>15</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7F92BB03">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21EC88EC">
            <w:pPr>
              <w:widowControl/>
              <w:jc w:val="center"/>
              <w:textAlignment w:val="center"/>
              <w:rPr>
                <w:color w:val="auto"/>
                <w:szCs w:val="21"/>
              </w:rPr>
            </w:pPr>
            <w:r>
              <w:rPr>
                <w:color w:val="auto"/>
                <w:kern w:val="0"/>
                <w:szCs w:val="21"/>
              </w:rPr>
              <w:t>2</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1443C4E6">
            <w:pPr>
              <w:widowControl/>
              <w:jc w:val="center"/>
              <w:textAlignment w:val="center"/>
              <w:rPr>
                <w:color w:val="auto"/>
                <w:szCs w:val="21"/>
              </w:rPr>
            </w:pPr>
            <w:r>
              <w:rPr>
                <w:color w:val="auto"/>
                <w:kern w:val="0"/>
                <w:szCs w:val="21"/>
              </w:rPr>
              <w:t>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0C576288">
            <w:pPr>
              <w:jc w:val="center"/>
              <w:rPr>
                <w:rFonts w:ascii="宋体" w:hAnsi="宋体" w:cs="宋体"/>
                <w:color w:val="auto"/>
                <w:szCs w:val="21"/>
              </w:rPr>
            </w:pPr>
          </w:p>
        </w:tc>
      </w:tr>
      <w:tr w14:paraId="55CD55F3">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7C604B0F">
            <w:pPr>
              <w:jc w:val="center"/>
              <w:rPr>
                <w:rFonts w:ascii="宋体" w:hAnsi="宋体" w:cs="宋体"/>
                <w:color w:val="auto"/>
                <w:szCs w:val="21"/>
              </w:rPr>
            </w:pPr>
          </w:p>
        </w:tc>
        <w:tc>
          <w:tcPr>
            <w:tcW w:w="745" w:type="dxa"/>
            <w:vMerge w:val="restart"/>
            <w:tcBorders>
              <w:top w:val="single" w:color="000000" w:sz="4" w:space="0"/>
              <w:left w:val="single" w:color="000000" w:sz="4" w:space="0"/>
              <w:bottom w:val="nil"/>
              <w:right w:val="single" w:color="000000" w:sz="4" w:space="0"/>
            </w:tcBorders>
            <w:shd w:val="clear" w:color="auto" w:fill="auto"/>
            <w:vAlign w:val="center"/>
          </w:tcPr>
          <w:p w14:paraId="7B80C77E">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效益</w:t>
            </w:r>
          </w:p>
          <w:p w14:paraId="502547A5">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指标</w:t>
            </w:r>
          </w:p>
          <w:p w14:paraId="0FF0BC82">
            <w:pPr>
              <w:widowControl/>
              <w:jc w:val="center"/>
              <w:textAlignment w:val="center"/>
              <w:rPr>
                <w:rFonts w:ascii="宋体" w:hAnsi="宋体" w:cs="宋体"/>
                <w:color w:val="auto"/>
                <w:szCs w:val="21"/>
              </w:rPr>
            </w:pPr>
            <w:r>
              <w:rPr>
                <w:rFonts w:hint="eastAsia" w:ascii="宋体" w:hAnsi="宋体" w:cs="宋体"/>
                <w:color w:val="auto"/>
                <w:kern w:val="0"/>
                <w:szCs w:val="21"/>
              </w:rPr>
              <w:t>(</w:t>
            </w:r>
            <w:r>
              <w:rPr>
                <w:color w:val="auto"/>
                <w:kern w:val="0"/>
                <w:szCs w:val="21"/>
              </w:rPr>
              <w:t>30</w:t>
            </w:r>
            <w:r>
              <w:rPr>
                <w:rFonts w:hint="eastAsia" w:ascii="宋体" w:hAnsi="宋体" w:cs="宋体"/>
                <w:color w:val="auto"/>
                <w:kern w:val="0"/>
                <w:szCs w:val="21"/>
              </w:rPr>
              <w:t>分)</w:t>
            </w:r>
          </w:p>
        </w:tc>
        <w:tc>
          <w:tcPr>
            <w:tcW w:w="745" w:type="dxa"/>
            <w:tcBorders>
              <w:top w:val="single" w:color="000000" w:sz="4" w:space="0"/>
              <w:left w:val="single" w:color="000000" w:sz="4" w:space="0"/>
              <w:bottom w:val="nil"/>
              <w:right w:val="single" w:color="000000" w:sz="4" w:space="0"/>
            </w:tcBorders>
            <w:shd w:val="clear" w:color="auto" w:fill="auto"/>
            <w:vAlign w:val="center"/>
          </w:tcPr>
          <w:p w14:paraId="4A2B6C89">
            <w:pPr>
              <w:widowControl/>
              <w:jc w:val="center"/>
              <w:textAlignment w:val="center"/>
              <w:rPr>
                <w:rFonts w:ascii="宋体" w:hAnsi="宋体" w:cs="宋体"/>
                <w:color w:val="auto"/>
                <w:szCs w:val="21"/>
              </w:rPr>
            </w:pPr>
            <w:r>
              <w:rPr>
                <w:rFonts w:hint="eastAsia" w:ascii="宋体" w:hAnsi="宋体" w:cs="宋体"/>
                <w:color w:val="auto"/>
                <w:kern w:val="0"/>
                <w:szCs w:val="21"/>
              </w:rPr>
              <w:t>社会效益指标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1DE5AE2">
            <w:pPr>
              <w:widowControl/>
              <w:jc w:val="center"/>
              <w:textAlignment w:val="center"/>
              <w:rPr>
                <w:rFonts w:ascii="宋体" w:hAnsi="宋体" w:cs="宋体"/>
                <w:color w:val="auto"/>
                <w:szCs w:val="21"/>
              </w:rPr>
            </w:pPr>
            <w:r>
              <w:rPr>
                <w:rFonts w:hint="eastAsia" w:ascii="宋体" w:hAnsi="宋体" w:cs="宋体"/>
                <w:color w:val="auto"/>
                <w:kern w:val="0"/>
                <w:szCs w:val="21"/>
              </w:rPr>
              <w:t>稳步提高工作质效</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76CF3143">
            <w:pPr>
              <w:widowControl/>
              <w:jc w:val="center"/>
              <w:textAlignment w:val="center"/>
              <w:rPr>
                <w:rFonts w:ascii="宋体" w:hAnsi="宋体" w:cs="宋体"/>
                <w:color w:val="auto"/>
                <w:szCs w:val="21"/>
              </w:rPr>
            </w:pPr>
            <w:r>
              <w:rPr>
                <w:rFonts w:hint="eastAsia" w:ascii="宋体" w:hAnsi="宋体" w:cs="宋体"/>
                <w:color w:val="auto"/>
                <w:kern w:val="0"/>
                <w:szCs w:val="21"/>
              </w:rPr>
              <w:t>定性</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25288836">
            <w:pPr>
              <w:jc w:val="center"/>
              <w:rPr>
                <w:rFonts w:ascii="宋体" w:hAnsi="宋体" w:cs="宋体"/>
                <w:color w:val="auto"/>
                <w:szCs w:val="21"/>
              </w:rPr>
            </w:pPr>
          </w:p>
        </w:tc>
        <w:tc>
          <w:tcPr>
            <w:tcW w:w="691" w:type="dxa"/>
            <w:tcBorders>
              <w:top w:val="single" w:color="000000" w:sz="4" w:space="0"/>
              <w:left w:val="single" w:color="000000" w:sz="4" w:space="0"/>
              <w:bottom w:val="nil"/>
              <w:right w:val="single" w:color="000000" w:sz="4" w:space="0"/>
            </w:tcBorders>
            <w:shd w:val="clear" w:color="auto" w:fill="auto"/>
            <w:vAlign w:val="center"/>
          </w:tcPr>
          <w:p w14:paraId="7D5E5420">
            <w:pPr>
              <w:widowControl/>
              <w:jc w:val="center"/>
              <w:textAlignment w:val="center"/>
              <w:rPr>
                <w:rFonts w:ascii="宋体" w:hAnsi="宋体" w:cs="宋体"/>
                <w:color w:val="auto"/>
                <w:szCs w:val="21"/>
              </w:rPr>
            </w:pPr>
            <w:r>
              <w:rPr>
                <w:rFonts w:hint="eastAsia" w:ascii="宋体" w:hAnsi="宋体" w:cs="宋体"/>
                <w:color w:val="auto"/>
                <w:kern w:val="0"/>
                <w:szCs w:val="21"/>
              </w:rPr>
              <w:t>提高</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5C442679">
            <w:pPr>
              <w:widowControl/>
              <w:jc w:val="center"/>
              <w:textAlignment w:val="center"/>
              <w:rPr>
                <w:rFonts w:ascii="宋体" w:hAnsi="宋体" w:cs="宋体"/>
                <w:color w:val="auto"/>
                <w:szCs w:val="21"/>
              </w:rPr>
            </w:pPr>
            <w:r>
              <w:rPr>
                <w:rFonts w:hint="eastAsia" w:ascii="宋体" w:hAnsi="宋体" w:cs="宋体"/>
                <w:color w:val="auto"/>
                <w:kern w:val="0"/>
                <w:szCs w:val="21"/>
              </w:rPr>
              <w:t>提高</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6137424B">
            <w:pPr>
              <w:jc w:val="center"/>
              <w:rPr>
                <w:rFonts w:ascii="宋体" w:hAnsi="宋体" w:cs="宋体"/>
                <w:color w:val="auto"/>
                <w:szCs w:val="21"/>
              </w:rPr>
            </w:pPr>
          </w:p>
        </w:tc>
        <w:tc>
          <w:tcPr>
            <w:tcW w:w="689" w:type="dxa"/>
            <w:tcBorders>
              <w:top w:val="single" w:color="000000" w:sz="4" w:space="0"/>
              <w:left w:val="single" w:color="000000" w:sz="4" w:space="0"/>
              <w:bottom w:val="nil"/>
              <w:right w:val="single" w:color="000000" w:sz="4" w:space="0"/>
            </w:tcBorders>
            <w:shd w:val="clear" w:color="auto" w:fill="auto"/>
            <w:vAlign w:val="center"/>
          </w:tcPr>
          <w:p w14:paraId="00F2B3A1">
            <w:pPr>
              <w:widowControl/>
              <w:jc w:val="center"/>
              <w:textAlignment w:val="center"/>
              <w:rPr>
                <w:rFonts w:ascii="宋体" w:hAnsi="宋体" w:cs="宋体"/>
                <w:color w:val="auto"/>
                <w:szCs w:val="21"/>
              </w:rPr>
            </w:pPr>
            <w:r>
              <w:rPr>
                <w:color w:val="auto"/>
                <w:kern w:val="0"/>
                <w:szCs w:val="21"/>
              </w:rPr>
              <w:t>15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435BD004">
            <w:pPr>
              <w:widowControl/>
              <w:jc w:val="center"/>
              <w:textAlignment w:val="center"/>
              <w:rPr>
                <w:rFonts w:ascii="宋体" w:hAnsi="宋体" w:cs="宋体"/>
                <w:color w:val="auto"/>
                <w:szCs w:val="21"/>
              </w:rPr>
            </w:pPr>
            <w:r>
              <w:rPr>
                <w:color w:val="auto"/>
                <w:kern w:val="0"/>
                <w:szCs w:val="21"/>
              </w:rPr>
              <w:t>15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6CA7C751">
            <w:pPr>
              <w:jc w:val="center"/>
              <w:rPr>
                <w:rFonts w:ascii="宋体" w:hAnsi="宋体" w:cs="宋体"/>
                <w:color w:val="auto"/>
                <w:szCs w:val="21"/>
              </w:rPr>
            </w:pPr>
          </w:p>
        </w:tc>
      </w:tr>
      <w:tr w14:paraId="53FF6C1D">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037B0C76">
            <w:pPr>
              <w:jc w:val="center"/>
              <w:rPr>
                <w:rFonts w:ascii="宋体" w:hAnsi="宋体" w:cs="宋体"/>
                <w:color w:val="auto"/>
                <w:szCs w:val="21"/>
              </w:rPr>
            </w:pPr>
          </w:p>
        </w:tc>
        <w:tc>
          <w:tcPr>
            <w:tcW w:w="745" w:type="dxa"/>
            <w:vMerge w:val="continue"/>
            <w:tcBorders>
              <w:top w:val="single" w:color="000000" w:sz="4" w:space="0"/>
              <w:left w:val="single" w:color="000000" w:sz="4" w:space="0"/>
              <w:bottom w:val="nil"/>
              <w:right w:val="single" w:color="000000" w:sz="4" w:space="0"/>
            </w:tcBorders>
            <w:shd w:val="clear" w:color="auto" w:fill="auto"/>
            <w:vAlign w:val="center"/>
          </w:tcPr>
          <w:p w14:paraId="119C8C05">
            <w:pPr>
              <w:jc w:val="center"/>
              <w:rPr>
                <w:rFonts w:ascii="宋体" w:hAnsi="宋体" w:cs="宋体"/>
                <w:color w:val="auto"/>
                <w:szCs w:val="21"/>
              </w:rPr>
            </w:pPr>
          </w:p>
        </w:tc>
        <w:tc>
          <w:tcPr>
            <w:tcW w:w="745" w:type="dxa"/>
            <w:tcBorders>
              <w:top w:val="single" w:color="000000" w:sz="4" w:space="0"/>
              <w:left w:val="single" w:color="000000" w:sz="4" w:space="0"/>
              <w:bottom w:val="nil"/>
              <w:right w:val="single" w:color="000000" w:sz="4" w:space="0"/>
            </w:tcBorders>
            <w:shd w:val="clear" w:color="auto" w:fill="auto"/>
            <w:vAlign w:val="center"/>
          </w:tcPr>
          <w:p w14:paraId="7468CE40">
            <w:pPr>
              <w:widowControl/>
              <w:jc w:val="center"/>
              <w:textAlignment w:val="center"/>
              <w:rPr>
                <w:rFonts w:ascii="宋体" w:hAnsi="宋体" w:cs="宋体"/>
                <w:color w:val="auto"/>
                <w:szCs w:val="21"/>
              </w:rPr>
            </w:pPr>
            <w:r>
              <w:rPr>
                <w:rFonts w:hint="eastAsia" w:ascii="宋体" w:hAnsi="宋体" w:cs="宋体"/>
                <w:color w:val="auto"/>
                <w:kern w:val="0"/>
                <w:szCs w:val="21"/>
              </w:rPr>
              <w:t>可持续影响指标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38E7B48F">
            <w:pPr>
              <w:widowControl/>
              <w:jc w:val="center"/>
              <w:textAlignment w:val="center"/>
              <w:rPr>
                <w:rFonts w:ascii="宋体" w:hAnsi="宋体" w:cs="宋体"/>
                <w:color w:val="auto"/>
                <w:szCs w:val="21"/>
              </w:rPr>
            </w:pPr>
            <w:r>
              <w:rPr>
                <w:rFonts w:hint="eastAsia" w:ascii="宋体" w:hAnsi="宋体" w:cs="宋体"/>
                <w:color w:val="auto"/>
                <w:kern w:val="0"/>
                <w:szCs w:val="21"/>
              </w:rPr>
              <w:t>信息系统持续使用时间</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14FC5BF9">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0C28BFF2">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181B6844">
            <w:pPr>
              <w:widowControl/>
              <w:jc w:val="center"/>
              <w:textAlignment w:val="center"/>
              <w:rPr>
                <w:color w:val="auto"/>
                <w:szCs w:val="21"/>
              </w:rPr>
            </w:pPr>
            <w:r>
              <w:rPr>
                <w:color w:val="auto"/>
                <w:kern w:val="0"/>
                <w:szCs w:val="21"/>
              </w:rPr>
              <w:t>6</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4CE3453E">
            <w:pPr>
              <w:widowControl/>
              <w:jc w:val="center"/>
              <w:textAlignment w:val="center"/>
              <w:rPr>
                <w:color w:val="auto"/>
                <w:szCs w:val="21"/>
              </w:rPr>
            </w:pPr>
            <w:r>
              <w:rPr>
                <w:color w:val="auto"/>
                <w:kern w:val="0"/>
                <w:szCs w:val="21"/>
              </w:rPr>
              <w:t>6</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10FEC679">
            <w:pPr>
              <w:widowControl/>
              <w:jc w:val="center"/>
              <w:textAlignment w:val="center"/>
              <w:rPr>
                <w:rFonts w:ascii="宋体" w:hAnsi="宋体" w:cs="宋体"/>
                <w:color w:val="auto"/>
                <w:szCs w:val="21"/>
              </w:rPr>
            </w:pPr>
            <w:r>
              <w:rPr>
                <w:rFonts w:hint="eastAsia" w:ascii="宋体" w:hAnsi="宋体" w:cs="宋体"/>
                <w:color w:val="auto"/>
                <w:kern w:val="0"/>
                <w:szCs w:val="21"/>
              </w:rPr>
              <w:t>年</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297A655D">
            <w:pPr>
              <w:widowControl/>
              <w:jc w:val="center"/>
              <w:textAlignment w:val="center"/>
              <w:rPr>
                <w:rFonts w:ascii="宋体" w:hAnsi="宋体" w:cs="宋体"/>
                <w:color w:val="auto"/>
                <w:szCs w:val="21"/>
              </w:rPr>
            </w:pPr>
            <w:r>
              <w:rPr>
                <w:color w:val="auto"/>
                <w:kern w:val="0"/>
                <w:szCs w:val="21"/>
              </w:rPr>
              <w:t>15</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36886B10">
            <w:pPr>
              <w:widowControl/>
              <w:jc w:val="center"/>
              <w:textAlignment w:val="center"/>
              <w:rPr>
                <w:rFonts w:ascii="宋体" w:hAnsi="宋体" w:cs="宋体"/>
                <w:color w:val="auto"/>
                <w:szCs w:val="21"/>
              </w:rPr>
            </w:pPr>
            <w:r>
              <w:rPr>
                <w:color w:val="auto"/>
                <w:kern w:val="0"/>
                <w:szCs w:val="21"/>
              </w:rPr>
              <w:t>15</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4AFB497F">
            <w:pPr>
              <w:jc w:val="center"/>
              <w:rPr>
                <w:rFonts w:ascii="宋体" w:hAnsi="宋体" w:cs="宋体"/>
                <w:color w:val="auto"/>
                <w:szCs w:val="21"/>
              </w:rPr>
            </w:pPr>
          </w:p>
        </w:tc>
      </w:tr>
      <w:tr w14:paraId="487D7453">
        <w:tblPrEx>
          <w:tblCellMar>
            <w:top w:w="0" w:type="dxa"/>
            <w:left w:w="28" w:type="dxa"/>
            <w:bottom w:w="0" w:type="dxa"/>
            <w:right w:w="28" w:type="dxa"/>
          </w:tblCellMar>
        </w:tblPrEx>
        <w:trPr>
          <w:trHeight w:val="840" w:hRule="atLeast"/>
          <w:jc w:val="center"/>
        </w:trPr>
        <w:tc>
          <w:tcPr>
            <w:tcW w:w="515" w:type="dxa"/>
            <w:vMerge w:val="continue"/>
            <w:tcBorders>
              <w:top w:val="single" w:color="000000" w:sz="4" w:space="0"/>
              <w:left w:val="single" w:color="000000" w:sz="4" w:space="0"/>
              <w:bottom w:val="nil"/>
              <w:right w:val="single" w:color="000000" w:sz="4" w:space="0"/>
            </w:tcBorders>
            <w:shd w:val="clear" w:color="auto" w:fill="auto"/>
            <w:vAlign w:val="center"/>
          </w:tcPr>
          <w:p w14:paraId="2F78686E">
            <w:pPr>
              <w:jc w:val="center"/>
              <w:rPr>
                <w:rFonts w:ascii="宋体" w:hAnsi="宋体" w:cs="宋体"/>
                <w:color w:val="auto"/>
                <w:szCs w:val="21"/>
              </w:rPr>
            </w:pPr>
          </w:p>
        </w:tc>
        <w:tc>
          <w:tcPr>
            <w:tcW w:w="745" w:type="dxa"/>
            <w:tcBorders>
              <w:top w:val="single" w:color="000000" w:sz="4" w:space="0"/>
              <w:left w:val="single" w:color="000000" w:sz="4" w:space="0"/>
              <w:bottom w:val="nil"/>
              <w:right w:val="single" w:color="000000" w:sz="4" w:space="0"/>
            </w:tcBorders>
            <w:shd w:val="clear" w:color="auto" w:fill="auto"/>
            <w:vAlign w:val="center"/>
          </w:tcPr>
          <w:p w14:paraId="4E444088">
            <w:pPr>
              <w:widowControl/>
              <w:jc w:val="center"/>
              <w:textAlignment w:val="center"/>
              <w:rPr>
                <w:rFonts w:ascii="宋体" w:hAnsi="宋体" w:cs="宋体"/>
                <w:color w:val="auto"/>
                <w:szCs w:val="21"/>
              </w:rPr>
            </w:pPr>
            <w:r>
              <w:rPr>
                <w:rFonts w:hint="eastAsia" w:ascii="宋体" w:hAnsi="宋体" w:cs="宋体"/>
                <w:color w:val="auto"/>
                <w:kern w:val="0"/>
                <w:szCs w:val="21"/>
              </w:rPr>
              <w:t>满意度指标(</w:t>
            </w:r>
            <w:r>
              <w:rPr>
                <w:color w:val="auto"/>
                <w:kern w:val="0"/>
                <w:szCs w:val="21"/>
              </w:rPr>
              <w:t>10</w:t>
            </w:r>
            <w:r>
              <w:rPr>
                <w:rFonts w:hint="eastAsia" w:ascii="宋体" w:hAnsi="宋体" w:cs="宋体"/>
                <w:color w:val="auto"/>
                <w:kern w:val="0"/>
                <w:szCs w:val="21"/>
              </w:rPr>
              <w:t>分)</w:t>
            </w:r>
          </w:p>
        </w:tc>
        <w:tc>
          <w:tcPr>
            <w:tcW w:w="745" w:type="dxa"/>
            <w:tcBorders>
              <w:top w:val="single" w:color="000000" w:sz="4" w:space="0"/>
              <w:left w:val="single" w:color="000000" w:sz="4" w:space="0"/>
              <w:bottom w:val="nil"/>
              <w:right w:val="single" w:color="000000" w:sz="4" w:space="0"/>
            </w:tcBorders>
            <w:shd w:val="clear" w:color="auto" w:fill="auto"/>
            <w:vAlign w:val="center"/>
          </w:tcPr>
          <w:p w14:paraId="7055BEF4">
            <w:pPr>
              <w:widowControl/>
              <w:jc w:val="center"/>
              <w:textAlignment w:val="center"/>
              <w:rPr>
                <w:rFonts w:ascii="宋体" w:hAnsi="宋体" w:cs="宋体"/>
                <w:color w:val="auto"/>
                <w:szCs w:val="21"/>
              </w:rPr>
            </w:pPr>
            <w:r>
              <w:rPr>
                <w:rFonts w:hint="eastAsia" w:ascii="宋体" w:hAnsi="宋体" w:cs="宋体"/>
                <w:color w:val="auto"/>
                <w:kern w:val="0"/>
                <w:szCs w:val="21"/>
              </w:rPr>
              <w:t>服务对象满意度指标</w:t>
            </w:r>
          </w:p>
        </w:tc>
        <w:tc>
          <w:tcPr>
            <w:tcW w:w="928" w:type="dxa"/>
            <w:tcBorders>
              <w:top w:val="single" w:color="000000" w:sz="4" w:space="0"/>
              <w:left w:val="single" w:color="000000" w:sz="4" w:space="0"/>
              <w:bottom w:val="nil"/>
              <w:right w:val="single" w:color="000000" w:sz="4" w:space="0"/>
            </w:tcBorders>
            <w:shd w:val="clear" w:color="auto" w:fill="auto"/>
            <w:vAlign w:val="center"/>
          </w:tcPr>
          <w:p w14:paraId="4C2BCBBF">
            <w:pPr>
              <w:widowControl/>
              <w:jc w:val="center"/>
              <w:textAlignment w:val="center"/>
              <w:rPr>
                <w:rFonts w:ascii="宋体" w:hAnsi="宋体" w:cs="宋体"/>
                <w:color w:val="auto"/>
                <w:szCs w:val="21"/>
              </w:rPr>
            </w:pPr>
            <w:r>
              <w:rPr>
                <w:rFonts w:hint="eastAsia" w:ascii="宋体" w:hAnsi="宋体" w:cs="宋体"/>
                <w:color w:val="auto"/>
                <w:kern w:val="0"/>
                <w:szCs w:val="21"/>
              </w:rPr>
              <w:t>使用人员满意度</w:t>
            </w:r>
          </w:p>
        </w:tc>
        <w:tc>
          <w:tcPr>
            <w:tcW w:w="642" w:type="dxa"/>
            <w:tcBorders>
              <w:top w:val="single" w:color="000000" w:sz="4" w:space="0"/>
              <w:left w:val="single" w:color="000000" w:sz="4" w:space="0"/>
              <w:bottom w:val="nil"/>
              <w:right w:val="single" w:color="000000" w:sz="4" w:space="0"/>
            </w:tcBorders>
            <w:shd w:val="clear" w:color="auto" w:fill="auto"/>
            <w:vAlign w:val="center"/>
          </w:tcPr>
          <w:p w14:paraId="78F211F5">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994" w:type="dxa"/>
            <w:tcBorders>
              <w:top w:val="single" w:color="000000" w:sz="4" w:space="0"/>
              <w:left w:val="single" w:color="000000" w:sz="4" w:space="0"/>
              <w:bottom w:val="nil"/>
              <w:right w:val="single" w:color="000000" w:sz="4" w:space="0"/>
            </w:tcBorders>
            <w:shd w:val="clear" w:color="auto" w:fill="auto"/>
            <w:vAlign w:val="center"/>
          </w:tcPr>
          <w:p w14:paraId="75D8EA13">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4A546DEC">
            <w:pPr>
              <w:widowControl/>
              <w:jc w:val="center"/>
              <w:textAlignment w:val="center"/>
              <w:rPr>
                <w:rFonts w:ascii="宋体" w:hAnsi="宋体" w:cs="宋体"/>
                <w:color w:val="auto"/>
                <w:szCs w:val="21"/>
              </w:rPr>
            </w:pPr>
            <w:r>
              <w:rPr>
                <w:color w:val="auto"/>
                <w:kern w:val="0"/>
                <w:szCs w:val="21"/>
              </w:rPr>
              <w:t>90</w:t>
            </w:r>
          </w:p>
        </w:tc>
        <w:tc>
          <w:tcPr>
            <w:tcW w:w="799" w:type="dxa"/>
            <w:tcBorders>
              <w:top w:val="single" w:color="000000" w:sz="4" w:space="0"/>
              <w:left w:val="single" w:color="000000" w:sz="4" w:space="0"/>
              <w:bottom w:val="nil"/>
              <w:right w:val="single" w:color="000000" w:sz="4" w:space="0"/>
            </w:tcBorders>
            <w:shd w:val="clear" w:color="auto" w:fill="auto"/>
            <w:vAlign w:val="center"/>
          </w:tcPr>
          <w:p w14:paraId="62BE0800">
            <w:pPr>
              <w:widowControl/>
              <w:jc w:val="center"/>
              <w:textAlignment w:val="center"/>
              <w:rPr>
                <w:rFonts w:ascii="宋体" w:hAnsi="宋体" w:cs="宋体"/>
                <w:color w:val="auto"/>
                <w:szCs w:val="21"/>
              </w:rPr>
            </w:pPr>
            <w:r>
              <w:rPr>
                <w:color w:val="auto"/>
                <w:kern w:val="0"/>
                <w:szCs w:val="21"/>
              </w:rPr>
              <w:t>90</w:t>
            </w:r>
          </w:p>
        </w:tc>
        <w:tc>
          <w:tcPr>
            <w:tcW w:w="699" w:type="dxa"/>
            <w:tcBorders>
              <w:top w:val="single" w:color="000000" w:sz="4" w:space="0"/>
              <w:left w:val="single" w:color="000000" w:sz="4" w:space="0"/>
              <w:bottom w:val="nil"/>
              <w:right w:val="single" w:color="000000" w:sz="4" w:space="0"/>
            </w:tcBorders>
            <w:shd w:val="clear" w:color="auto" w:fill="auto"/>
            <w:vAlign w:val="center"/>
          </w:tcPr>
          <w:p w14:paraId="2FEA03B7">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32A335D2">
            <w:pPr>
              <w:widowControl/>
              <w:jc w:val="center"/>
              <w:textAlignment w:val="center"/>
              <w:rPr>
                <w:rFonts w:ascii="宋体" w:hAnsi="宋体" w:cs="宋体"/>
                <w:color w:val="auto"/>
                <w:szCs w:val="21"/>
              </w:rPr>
            </w:pPr>
            <w:r>
              <w:rPr>
                <w:color w:val="auto"/>
                <w:kern w:val="0"/>
                <w:szCs w:val="21"/>
              </w:rPr>
              <w:t>10</w:t>
            </w:r>
          </w:p>
        </w:tc>
        <w:tc>
          <w:tcPr>
            <w:tcW w:w="630" w:type="dxa"/>
            <w:tcBorders>
              <w:top w:val="single" w:color="000000" w:sz="4" w:space="0"/>
              <w:left w:val="single" w:color="000000" w:sz="4" w:space="0"/>
              <w:bottom w:val="nil"/>
              <w:right w:val="single" w:color="000000" w:sz="4" w:space="0"/>
            </w:tcBorders>
            <w:shd w:val="clear" w:color="auto" w:fill="auto"/>
            <w:vAlign w:val="center"/>
          </w:tcPr>
          <w:p w14:paraId="4674E99A">
            <w:pPr>
              <w:widowControl/>
              <w:jc w:val="center"/>
              <w:textAlignment w:val="center"/>
              <w:rPr>
                <w:rFonts w:ascii="宋体" w:hAnsi="宋体" w:cs="宋体"/>
                <w:color w:val="auto"/>
                <w:szCs w:val="21"/>
              </w:rPr>
            </w:pPr>
            <w:r>
              <w:rPr>
                <w:color w:val="auto"/>
                <w:kern w:val="0"/>
                <w:szCs w:val="21"/>
              </w:rPr>
              <w:t>10</w:t>
            </w:r>
          </w:p>
        </w:tc>
        <w:tc>
          <w:tcPr>
            <w:tcW w:w="1492" w:type="dxa"/>
            <w:tcBorders>
              <w:top w:val="single" w:color="000000" w:sz="4" w:space="0"/>
              <w:left w:val="single" w:color="000000" w:sz="4" w:space="0"/>
              <w:bottom w:val="nil"/>
              <w:right w:val="single" w:color="000000" w:sz="4" w:space="0"/>
            </w:tcBorders>
            <w:shd w:val="clear" w:color="auto" w:fill="auto"/>
            <w:vAlign w:val="center"/>
          </w:tcPr>
          <w:p w14:paraId="44649D6D">
            <w:pPr>
              <w:jc w:val="center"/>
              <w:rPr>
                <w:rFonts w:ascii="宋体" w:hAnsi="宋体" w:cs="宋体"/>
                <w:color w:val="auto"/>
                <w:szCs w:val="21"/>
              </w:rPr>
            </w:pPr>
          </w:p>
        </w:tc>
      </w:tr>
      <w:tr w14:paraId="28F0DB76">
        <w:tblPrEx>
          <w:tblCellMar>
            <w:top w:w="0" w:type="dxa"/>
            <w:left w:w="28" w:type="dxa"/>
            <w:bottom w:w="0" w:type="dxa"/>
            <w:right w:w="28" w:type="dxa"/>
          </w:tblCellMar>
        </w:tblPrEx>
        <w:trPr>
          <w:trHeight w:val="840" w:hRule="atLeast"/>
          <w:jc w:val="center"/>
        </w:trPr>
        <w:tc>
          <w:tcPr>
            <w:tcW w:w="675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F86C5E">
            <w:pPr>
              <w:widowControl/>
              <w:jc w:val="center"/>
              <w:textAlignment w:val="center"/>
              <w:rPr>
                <w:rFonts w:ascii="宋体" w:hAnsi="宋体" w:cs="宋体"/>
                <w:color w:val="auto"/>
                <w:szCs w:val="21"/>
              </w:rPr>
            </w:pPr>
            <w:r>
              <w:rPr>
                <w:rFonts w:hint="eastAsia" w:ascii="宋体" w:hAnsi="宋体" w:cs="宋体"/>
                <w:color w:val="auto"/>
                <w:kern w:val="0"/>
                <w:szCs w:val="21"/>
              </w:rPr>
              <w:t>总分</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22DB">
            <w:pPr>
              <w:widowControl/>
              <w:jc w:val="center"/>
              <w:textAlignment w:val="center"/>
              <w:rPr>
                <w:rFonts w:ascii="宋体" w:hAnsi="宋体" w:cs="宋体"/>
                <w:color w:val="auto"/>
                <w:szCs w:val="21"/>
              </w:rPr>
            </w:pPr>
            <w:r>
              <w:rPr>
                <w:color w:val="auto"/>
                <w:kern w:val="0"/>
                <w:szCs w:val="21"/>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60C6">
            <w:pPr>
              <w:widowControl/>
              <w:jc w:val="center"/>
              <w:textAlignment w:val="center"/>
              <w:rPr>
                <w:rFonts w:ascii="宋体" w:hAnsi="宋体" w:cs="宋体"/>
                <w:color w:val="auto"/>
                <w:szCs w:val="21"/>
              </w:rPr>
            </w:pPr>
            <w:r>
              <w:rPr>
                <w:color w:val="auto"/>
                <w:kern w:val="0"/>
                <w:szCs w:val="21"/>
              </w:rPr>
              <w:t>95</w:t>
            </w:r>
            <w:r>
              <w:rPr>
                <w:rFonts w:hint="eastAsia" w:ascii="宋体" w:hAnsi="宋体" w:cs="宋体"/>
                <w:color w:val="auto"/>
                <w:kern w:val="0"/>
                <w:szCs w:val="21"/>
              </w:rPr>
              <w:t>.</w:t>
            </w:r>
            <w:r>
              <w:rPr>
                <w:color w:val="auto"/>
                <w:kern w:val="0"/>
                <w:szCs w:val="21"/>
              </w:rPr>
              <w:t>98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7BEE">
            <w:pPr>
              <w:jc w:val="center"/>
              <w:rPr>
                <w:rFonts w:ascii="宋体" w:hAnsi="宋体" w:cs="宋体"/>
                <w:color w:val="auto"/>
                <w:szCs w:val="21"/>
              </w:rPr>
            </w:pPr>
          </w:p>
        </w:tc>
      </w:tr>
    </w:tbl>
    <w:p w14:paraId="4B985286">
      <w:pPr>
        <w:widowControl/>
        <w:spacing w:line="460" w:lineRule="exact"/>
        <w:jc w:val="center"/>
        <w:textAlignment w:val="center"/>
        <w:rPr>
          <w:rFonts w:hAnsi="黑体" w:eastAsia="黑体"/>
          <w:bCs/>
          <w:color w:val="auto"/>
          <w:kern w:val="0"/>
          <w:sz w:val="30"/>
          <w:szCs w:val="30"/>
        </w:rPr>
        <w:sectPr>
          <w:pgSz w:w="11907" w:h="16839"/>
          <w:pgMar w:top="1440" w:right="1797" w:bottom="1440" w:left="1797" w:header="851" w:footer="992" w:gutter="0"/>
          <w:pgNumType w:fmt="numberInDash" w:start="1"/>
          <w:cols w:space="425" w:num="1"/>
          <w:docGrid w:type="lines" w:linePitch="312" w:charSpace="0"/>
        </w:sectPr>
      </w:pPr>
    </w:p>
    <w:tbl>
      <w:tblPr>
        <w:tblStyle w:val="11"/>
        <w:tblW w:w="9632" w:type="dxa"/>
        <w:jc w:val="center"/>
        <w:tblLayout w:type="fixed"/>
        <w:tblCellMar>
          <w:top w:w="0" w:type="dxa"/>
          <w:left w:w="28" w:type="dxa"/>
          <w:bottom w:w="0" w:type="dxa"/>
          <w:right w:w="28" w:type="dxa"/>
        </w:tblCellMar>
      </w:tblPr>
      <w:tblGrid>
        <w:gridCol w:w="428"/>
        <w:gridCol w:w="439"/>
        <w:gridCol w:w="689"/>
        <w:gridCol w:w="1002"/>
        <w:gridCol w:w="683"/>
        <w:gridCol w:w="1022"/>
        <w:gridCol w:w="719"/>
        <w:gridCol w:w="1097"/>
        <w:gridCol w:w="884"/>
        <w:gridCol w:w="656"/>
        <w:gridCol w:w="856"/>
        <w:gridCol w:w="1157"/>
      </w:tblGrid>
      <w:tr w14:paraId="33C4F9AA">
        <w:tblPrEx>
          <w:tblCellMar>
            <w:top w:w="0" w:type="dxa"/>
            <w:left w:w="28" w:type="dxa"/>
            <w:bottom w:w="0" w:type="dxa"/>
            <w:right w:w="28" w:type="dxa"/>
          </w:tblCellMar>
        </w:tblPrEx>
        <w:trPr>
          <w:trHeight w:val="960" w:hRule="atLeast"/>
          <w:jc w:val="center"/>
        </w:trPr>
        <w:tc>
          <w:tcPr>
            <w:tcW w:w="963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323CB0B">
            <w:pPr>
              <w:widowControl/>
              <w:spacing w:line="460" w:lineRule="exact"/>
              <w:jc w:val="center"/>
              <w:textAlignment w:val="center"/>
              <w:rPr>
                <w:rFonts w:ascii="宋体" w:hAnsi="宋体" w:cs="宋体"/>
                <w:b/>
                <w:bCs/>
                <w:color w:val="auto"/>
                <w:sz w:val="40"/>
                <w:szCs w:val="40"/>
              </w:rPr>
            </w:pPr>
            <w:r>
              <w:rPr>
                <w:rFonts w:hint="eastAsia" w:hAnsi="黑体" w:eastAsia="黑体"/>
                <w:bCs/>
                <w:color w:val="auto"/>
                <w:kern w:val="0"/>
                <w:sz w:val="30"/>
                <w:szCs w:val="30"/>
              </w:rPr>
              <w:t>项目支出绩效自评表</w:t>
            </w:r>
            <w:r>
              <w:rPr>
                <w:rFonts w:hint="eastAsia" w:hAnsi="黑体" w:eastAsia="黑体"/>
                <w:bCs/>
                <w:color w:val="auto"/>
                <w:kern w:val="0"/>
                <w:sz w:val="30"/>
                <w:szCs w:val="30"/>
              </w:rPr>
              <w:br w:type="textWrapping"/>
            </w:r>
            <w:r>
              <w:rPr>
                <w:rFonts w:hint="eastAsia" w:hAnsi="黑体" w:eastAsia="黑体"/>
                <w:bCs/>
                <w:color w:val="auto"/>
                <w:kern w:val="0"/>
                <w:sz w:val="30"/>
                <w:szCs w:val="30"/>
              </w:rPr>
              <w:t>(</w:t>
            </w:r>
            <w:r>
              <w:rPr>
                <w:rFonts w:hAnsi="黑体" w:eastAsia="黑体"/>
                <w:bCs/>
                <w:color w:val="auto"/>
                <w:kern w:val="0"/>
                <w:sz w:val="30"/>
                <w:szCs w:val="30"/>
              </w:rPr>
              <w:t>2025</w:t>
            </w:r>
            <w:r>
              <w:rPr>
                <w:rFonts w:hint="eastAsia" w:hAnsi="黑体" w:eastAsia="黑体"/>
                <w:bCs/>
                <w:color w:val="auto"/>
                <w:kern w:val="0"/>
                <w:sz w:val="30"/>
                <w:szCs w:val="30"/>
              </w:rPr>
              <w:t>年度）</w:t>
            </w:r>
          </w:p>
        </w:tc>
      </w:tr>
      <w:tr w14:paraId="68D4A379">
        <w:tblPrEx>
          <w:tblCellMar>
            <w:top w:w="0" w:type="dxa"/>
            <w:left w:w="28" w:type="dxa"/>
            <w:bottom w:w="0" w:type="dxa"/>
            <w:right w:w="28" w:type="dxa"/>
          </w:tblCellMar>
        </w:tblPrEx>
        <w:trPr>
          <w:trHeight w:val="927" w:hRule="atLeast"/>
          <w:jc w:val="center"/>
        </w:trPr>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4E11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项目</w:t>
            </w:r>
          </w:p>
          <w:p w14:paraId="4AF89562">
            <w:pPr>
              <w:widowControl/>
              <w:jc w:val="center"/>
              <w:textAlignment w:val="center"/>
              <w:rPr>
                <w:rFonts w:ascii="宋体" w:hAnsi="宋体" w:cs="宋体"/>
                <w:color w:val="auto"/>
                <w:szCs w:val="21"/>
              </w:rPr>
            </w:pPr>
            <w:r>
              <w:rPr>
                <w:rFonts w:hint="eastAsia" w:ascii="宋体" w:hAnsi="宋体" w:cs="宋体"/>
                <w:color w:val="auto"/>
                <w:kern w:val="0"/>
                <w:szCs w:val="21"/>
              </w:rPr>
              <w:t>名称</w:t>
            </w:r>
          </w:p>
        </w:tc>
        <w:tc>
          <w:tcPr>
            <w:tcW w:w="876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2FEB7B">
            <w:pPr>
              <w:widowControl/>
              <w:jc w:val="center"/>
              <w:textAlignment w:val="center"/>
              <w:rPr>
                <w:rFonts w:ascii="宋体" w:hAnsi="宋体" w:cs="宋体"/>
                <w:color w:val="auto"/>
                <w:szCs w:val="21"/>
              </w:rPr>
            </w:pPr>
            <w:r>
              <w:rPr>
                <w:rFonts w:hint="eastAsia" w:ascii="宋体" w:hAnsi="宋体" w:cs="宋体"/>
                <w:color w:val="auto"/>
                <w:kern w:val="0"/>
                <w:szCs w:val="21"/>
              </w:rPr>
              <w:t>业务装备经费</w:t>
            </w:r>
          </w:p>
        </w:tc>
      </w:tr>
      <w:tr w14:paraId="60F3ED06">
        <w:tblPrEx>
          <w:tblCellMar>
            <w:top w:w="0" w:type="dxa"/>
            <w:left w:w="28" w:type="dxa"/>
            <w:bottom w:w="0" w:type="dxa"/>
            <w:right w:w="28" w:type="dxa"/>
          </w:tblCellMar>
        </w:tblPrEx>
        <w:trPr>
          <w:trHeight w:val="898" w:hRule="atLeast"/>
          <w:jc w:val="center"/>
        </w:trPr>
        <w:tc>
          <w:tcPr>
            <w:tcW w:w="8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57416">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主管</w:t>
            </w:r>
          </w:p>
          <w:p w14:paraId="25D0015F">
            <w:pPr>
              <w:widowControl/>
              <w:jc w:val="center"/>
              <w:textAlignment w:val="center"/>
              <w:rPr>
                <w:rFonts w:ascii="宋体" w:hAnsi="宋体" w:cs="宋体"/>
                <w:color w:val="auto"/>
                <w:szCs w:val="21"/>
              </w:rPr>
            </w:pPr>
            <w:r>
              <w:rPr>
                <w:rFonts w:hint="eastAsia" w:ascii="宋体" w:hAnsi="宋体" w:cs="宋体"/>
                <w:color w:val="auto"/>
                <w:kern w:val="0"/>
                <w:szCs w:val="21"/>
              </w:rPr>
              <w:t>部门</w:t>
            </w:r>
          </w:p>
        </w:tc>
        <w:tc>
          <w:tcPr>
            <w:tcW w:w="33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1E6D0E">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内蒙古自治区人民检察院部门</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E405B">
            <w:pPr>
              <w:widowControl/>
              <w:jc w:val="center"/>
              <w:textAlignment w:val="center"/>
              <w:rPr>
                <w:rFonts w:ascii="宋体" w:hAnsi="宋体" w:cs="宋体"/>
                <w:color w:val="auto"/>
                <w:szCs w:val="21"/>
              </w:rPr>
            </w:pPr>
            <w:r>
              <w:rPr>
                <w:rFonts w:hint="eastAsia" w:ascii="宋体" w:hAnsi="宋体" w:cs="宋体"/>
                <w:color w:val="auto"/>
                <w:kern w:val="0"/>
                <w:szCs w:val="21"/>
              </w:rPr>
              <w:t>实施单位</w:t>
            </w:r>
          </w:p>
        </w:tc>
        <w:tc>
          <w:tcPr>
            <w:tcW w:w="35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5E1476">
            <w:pPr>
              <w:widowControl/>
              <w:jc w:val="center"/>
              <w:textAlignment w:val="center"/>
              <w:rPr>
                <w:rFonts w:ascii="宋体" w:hAnsi="宋体" w:cs="宋体"/>
                <w:color w:val="auto"/>
                <w:szCs w:val="21"/>
              </w:rPr>
            </w:pPr>
            <w:r>
              <w:rPr>
                <w:rFonts w:hint="eastAsia" w:ascii="宋体" w:hAnsi="宋体" w:cs="宋体"/>
                <w:color w:val="auto"/>
                <w:kern w:val="0"/>
                <w:szCs w:val="21"/>
              </w:rPr>
              <w:t>内蒙古自治区人民检察院</w:t>
            </w:r>
          </w:p>
        </w:tc>
      </w:tr>
      <w:tr w14:paraId="030F6F2E">
        <w:tblPrEx>
          <w:tblCellMar>
            <w:top w:w="0" w:type="dxa"/>
            <w:left w:w="28" w:type="dxa"/>
            <w:bottom w:w="0" w:type="dxa"/>
            <w:right w:w="28" w:type="dxa"/>
          </w:tblCellMar>
        </w:tblPrEx>
        <w:trPr>
          <w:trHeight w:val="870"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8D6F1">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项目</w:t>
            </w:r>
          </w:p>
          <w:p w14:paraId="2DDCEF5F">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29B77BA0">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ACE0">
            <w:pPr>
              <w:jc w:val="center"/>
              <w:rPr>
                <w:rFonts w:ascii="宋体" w:hAnsi="宋体" w:cs="宋体"/>
                <w:color w:val="auto"/>
                <w:szCs w:val="21"/>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64BA7">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年初</w:t>
            </w:r>
          </w:p>
          <w:p w14:paraId="375D686C">
            <w:pPr>
              <w:widowControl/>
              <w:jc w:val="center"/>
              <w:textAlignment w:val="center"/>
              <w:rPr>
                <w:rFonts w:ascii="宋体" w:hAnsi="宋体" w:cs="宋体"/>
                <w:color w:val="auto"/>
                <w:szCs w:val="21"/>
              </w:rPr>
            </w:pPr>
            <w:r>
              <w:rPr>
                <w:rFonts w:hint="eastAsia" w:ascii="宋体" w:hAnsi="宋体" w:cs="宋体"/>
                <w:color w:val="auto"/>
                <w:kern w:val="0"/>
                <w:szCs w:val="21"/>
              </w:rPr>
              <w:t>预算数</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7E90">
            <w:pPr>
              <w:widowControl/>
              <w:jc w:val="center"/>
              <w:textAlignment w:val="center"/>
              <w:rPr>
                <w:rFonts w:ascii="宋体" w:hAnsi="宋体" w:cs="宋体"/>
                <w:color w:val="auto"/>
                <w:szCs w:val="21"/>
              </w:rPr>
            </w:pPr>
            <w:r>
              <w:rPr>
                <w:rFonts w:hint="eastAsia" w:ascii="宋体" w:hAnsi="宋体" w:cs="宋体"/>
                <w:color w:val="auto"/>
                <w:kern w:val="0"/>
                <w:szCs w:val="21"/>
              </w:rPr>
              <w:t>全年预算数</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871F6">
            <w:pPr>
              <w:widowControl/>
              <w:jc w:val="center"/>
              <w:textAlignment w:val="center"/>
              <w:rPr>
                <w:rFonts w:ascii="宋体" w:hAnsi="宋体" w:cs="宋体"/>
                <w:color w:val="auto"/>
                <w:szCs w:val="21"/>
              </w:rPr>
            </w:pPr>
            <w:r>
              <w:rPr>
                <w:rFonts w:hint="eastAsia" w:ascii="宋体" w:hAnsi="宋体" w:cs="宋体"/>
                <w:color w:val="auto"/>
                <w:kern w:val="0"/>
                <w:szCs w:val="21"/>
              </w:rPr>
              <w:t>全年执行数</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D4DD">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AA28D">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执行率</w:t>
            </w:r>
          </w:p>
          <w:p w14:paraId="038CBF8A">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695B">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r>
      <w:tr w14:paraId="0B58A36A">
        <w:tblPrEx>
          <w:tblCellMar>
            <w:top w:w="0" w:type="dxa"/>
            <w:left w:w="28" w:type="dxa"/>
            <w:bottom w:w="0" w:type="dxa"/>
            <w:right w:w="28" w:type="dxa"/>
          </w:tblCellMar>
        </w:tblPrEx>
        <w:trPr>
          <w:trHeight w:val="1149"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E525D">
            <w:pPr>
              <w:jc w:val="center"/>
              <w:rPr>
                <w:rFonts w:ascii="宋体" w:hAnsi="宋体" w:cs="宋体"/>
                <w:color w:val="auto"/>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C57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5E037B2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资金</w:t>
            </w:r>
          </w:p>
          <w:p w14:paraId="3C9182A0">
            <w:pPr>
              <w:widowControl/>
              <w:jc w:val="center"/>
              <w:textAlignment w:val="center"/>
              <w:rPr>
                <w:rFonts w:ascii="宋体" w:hAnsi="宋体" w:cs="宋体"/>
                <w:color w:val="auto"/>
                <w:szCs w:val="21"/>
              </w:rPr>
            </w:pPr>
            <w:r>
              <w:rPr>
                <w:rFonts w:hint="eastAsia" w:ascii="宋体" w:hAnsi="宋体" w:cs="宋体"/>
                <w:color w:val="auto"/>
                <w:kern w:val="0"/>
                <w:szCs w:val="21"/>
              </w:rPr>
              <w:t>总额</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CC00">
            <w:pPr>
              <w:widowControl/>
              <w:jc w:val="center"/>
              <w:textAlignment w:val="center"/>
              <w:rPr>
                <w:rFonts w:ascii="宋体" w:hAnsi="宋体" w:cs="宋体"/>
                <w:color w:val="auto"/>
                <w:szCs w:val="21"/>
              </w:rPr>
            </w:pPr>
            <w:r>
              <w:rPr>
                <w:color w:val="auto"/>
                <w:kern w:val="0"/>
                <w:szCs w:val="21"/>
              </w:rPr>
              <w:t>407</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2A03A">
            <w:pPr>
              <w:widowControl/>
              <w:jc w:val="center"/>
              <w:textAlignment w:val="center"/>
              <w:rPr>
                <w:rFonts w:ascii="宋体" w:hAnsi="宋体" w:cs="宋体"/>
                <w:color w:val="auto"/>
                <w:szCs w:val="21"/>
              </w:rPr>
            </w:pPr>
            <w:r>
              <w:rPr>
                <w:color w:val="auto"/>
                <w:kern w:val="0"/>
                <w:szCs w:val="21"/>
              </w:rPr>
              <w:t>436</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A4BAD">
            <w:pPr>
              <w:widowControl/>
              <w:jc w:val="center"/>
              <w:textAlignment w:val="center"/>
              <w:rPr>
                <w:rFonts w:ascii="宋体" w:hAnsi="宋体" w:cs="宋体"/>
                <w:color w:val="auto"/>
                <w:szCs w:val="21"/>
              </w:rPr>
            </w:pPr>
            <w:r>
              <w:rPr>
                <w:color w:val="auto"/>
                <w:kern w:val="0"/>
                <w:szCs w:val="21"/>
              </w:rPr>
              <w:t>422</w:t>
            </w:r>
            <w:r>
              <w:rPr>
                <w:rFonts w:hint="eastAsia" w:ascii="宋体" w:hAnsi="宋体" w:cs="宋体"/>
                <w:color w:val="auto"/>
                <w:kern w:val="0"/>
                <w:szCs w:val="21"/>
              </w:rPr>
              <w:t>.</w:t>
            </w:r>
            <w:r>
              <w:rPr>
                <w:color w:val="auto"/>
                <w:kern w:val="0"/>
                <w:szCs w:val="21"/>
              </w:rPr>
              <w:t>19</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A045">
            <w:pPr>
              <w:widowControl/>
              <w:jc w:val="center"/>
              <w:textAlignment w:val="center"/>
              <w:rPr>
                <w:rFonts w:ascii="宋体" w:hAnsi="宋体" w:cs="宋体"/>
                <w:color w:val="auto"/>
                <w:szCs w:val="21"/>
              </w:rPr>
            </w:pPr>
            <w:r>
              <w:rPr>
                <w:color w:val="auto"/>
                <w:kern w:val="0"/>
                <w:szCs w:val="21"/>
              </w:rPr>
              <w:t>10</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D5EA8">
            <w:pPr>
              <w:widowControl/>
              <w:jc w:val="center"/>
              <w:textAlignment w:val="center"/>
              <w:rPr>
                <w:rFonts w:ascii="宋体" w:hAnsi="宋体" w:cs="宋体"/>
                <w:color w:val="auto"/>
                <w:szCs w:val="21"/>
              </w:rPr>
            </w:pPr>
            <w:r>
              <w:rPr>
                <w:color w:val="auto"/>
                <w:kern w:val="0"/>
                <w:szCs w:val="21"/>
              </w:rPr>
              <w:t>96</w:t>
            </w:r>
            <w:r>
              <w:rPr>
                <w:rFonts w:hint="eastAsia" w:ascii="宋体" w:hAnsi="宋体" w:cs="宋体"/>
                <w:color w:val="auto"/>
                <w:kern w:val="0"/>
                <w:szCs w:val="21"/>
              </w:rPr>
              <w:t>.</w:t>
            </w:r>
            <w:r>
              <w:rPr>
                <w:color w:val="auto"/>
                <w:kern w:val="0"/>
                <w:szCs w:val="21"/>
              </w:rPr>
              <w:t>83</w:t>
            </w:r>
            <w:r>
              <w:rPr>
                <w:rFonts w:hint="eastAsia" w:ascii="宋体" w:hAnsi="宋体" w:cs="宋体"/>
                <w:color w:val="auto"/>
                <w:kern w:val="0"/>
                <w:szCs w:val="21"/>
              </w:rPr>
              <w:t>%</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75D98">
            <w:pPr>
              <w:widowControl/>
              <w:jc w:val="center"/>
              <w:textAlignment w:val="center"/>
              <w:rPr>
                <w:rFonts w:ascii="宋体" w:hAnsi="宋体" w:cs="宋体"/>
                <w:color w:val="auto"/>
                <w:szCs w:val="21"/>
              </w:rPr>
            </w:pPr>
            <w:r>
              <w:rPr>
                <w:color w:val="auto"/>
                <w:kern w:val="0"/>
                <w:szCs w:val="21"/>
              </w:rPr>
              <w:t>9</w:t>
            </w:r>
            <w:r>
              <w:rPr>
                <w:rFonts w:hint="eastAsia" w:ascii="宋体" w:hAnsi="宋体" w:cs="宋体"/>
                <w:color w:val="auto"/>
                <w:kern w:val="0"/>
                <w:szCs w:val="21"/>
              </w:rPr>
              <w:t>.</w:t>
            </w:r>
            <w:r>
              <w:rPr>
                <w:color w:val="auto"/>
                <w:kern w:val="0"/>
                <w:szCs w:val="21"/>
              </w:rPr>
              <w:t>68</w:t>
            </w:r>
          </w:p>
        </w:tc>
      </w:tr>
      <w:tr w14:paraId="13107F7C">
        <w:tblPrEx>
          <w:tblCellMar>
            <w:top w:w="0" w:type="dxa"/>
            <w:left w:w="28" w:type="dxa"/>
            <w:bottom w:w="0" w:type="dxa"/>
            <w:right w:w="28" w:type="dxa"/>
          </w:tblCellMar>
        </w:tblPrEx>
        <w:trPr>
          <w:trHeight w:val="1136"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7CFC4">
            <w:pPr>
              <w:jc w:val="center"/>
              <w:rPr>
                <w:rFonts w:ascii="宋体" w:hAnsi="宋体" w:cs="宋体"/>
                <w:color w:val="auto"/>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5DAD">
            <w:pPr>
              <w:widowControl/>
              <w:jc w:val="center"/>
              <w:textAlignment w:val="center"/>
              <w:rPr>
                <w:rFonts w:ascii="宋体" w:hAnsi="宋体" w:cs="宋体"/>
                <w:color w:val="auto"/>
                <w:szCs w:val="21"/>
              </w:rPr>
            </w:pPr>
            <w:r>
              <w:rPr>
                <w:rFonts w:hint="eastAsia" w:ascii="宋体" w:hAnsi="宋体" w:cs="宋体"/>
                <w:color w:val="auto"/>
                <w:kern w:val="0"/>
                <w:szCs w:val="21"/>
              </w:rPr>
              <w:t>其中：财政拨款</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450F">
            <w:pPr>
              <w:widowControl/>
              <w:jc w:val="center"/>
              <w:textAlignment w:val="center"/>
              <w:rPr>
                <w:rFonts w:ascii="宋体" w:hAnsi="宋体" w:cs="宋体"/>
                <w:color w:val="auto"/>
                <w:szCs w:val="21"/>
              </w:rPr>
            </w:pPr>
            <w:r>
              <w:rPr>
                <w:color w:val="auto"/>
                <w:kern w:val="0"/>
                <w:szCs w:val="21"/>
              </w:rPr>
              <w:t>407</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48F29">
            <w:pPr>
              <w:widowControl/>
              <w:jc w:val="center"/>
              <w:textAlignment w:val="center"/>
              <w:rPr>
                <w:rFonts w:ascii="宋体" w:hAnsi="宋体" w:cs="宋体"/>
                <w:color w:val="auto"/>
                <w:szCs w:val="21"/>
              </w:rPr>
            </w:pPr>
            <w:r>
              <w:rPr>
                <w:color w:val="auto"/>
                <w:kern w:val="0"/>
                <w:szCs w:val="21"/>
              </w:rPr>
              <w:t>436</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956DC">
            <w:pPr>
              <w:widowControl/>
              <w:jc w:val="center"/>
              <w:textAlignment w:val="center"/>
              <w:rPr>
                <w:rFonts w:ascii="宋体" w:hAnsi="宋体" w:cs="宋体"/>
                <w:color w:val="auto"/>
                <w:szCs w:val="21"/>
              </w:rPr>
            </w:pPr>
            <w:r>
              <w:rPr>
                <w:color w:val="auto"/>
                <w:kern w:val="0"/>
                <w:szCs w:val="21"/>
              </w:rPr>
              <w:t>422</w:t>
            </w:r>
            <w:r>
              <w:rPr>
                <w:rFonts w:hint="eastAsia" w:ascii="宋体" w:hAnsi="宋体" w:cs="宋体"/>
                <w:color w:val="auto"/>
                <w:kern w:val="0"/>
                <w:szCs w:val="21"/>
              </w:rPr>
              <w:t>.</w:t>
            </w:r>
            <w:r>
              <w:rPr>
                <w:color w:val="auto"/>
                <w:kern w:val="0"/>
                <w:szCs w:val="21"/>
              </w:rPr>
              <w:t>19</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8FF8">
            <w:pPr>
              <w:widowControl/>
              <w:jc w:val="center"/>
              <w:textAlignment w:val="center"/>
              <w:rPr>
                <w:rFonts w:ascii="Arial" w:hAnsi="Arial" w:cs="Arial"/>
                <w:color w:val="auto"/>
                <w:szCs w:val="21"/>
              </w:rPr>
            </w:pPr>
            <w:r>
              <w:rPr>
                <w:rFonts w:ascii="Arial" w:hAnsi="Arial" w:cs="Arial"/>
                <w:color w:val="auto"/>
                <w:kern w:val="0"/>
                <w:szCs w:val="21"/>
              </w:rPr>
              <w:t>——</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3E4B7">
            <w:pPr>
              <w:widowControl/>
              <w:jc w:val="center"/>
              <w:textAlignment w:val="center"/>
              <w:rPr>
                <w:color w:val="auto"/>
                <w:szCs w:val="21"/>
              </w:rPr>
            </w:pPr>
            <w:r>
              <w:rPr>
                <w:color w:val="auto"/>
                <w:kern w:val="0"/>
                <w:szCs w:val="21"/>
              </w:rPr>
              <w:t>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335D">
            <w:pPr>
              <w:widowControl/>
              <w:jc w:val="center"/>
              <w:textAlignment w:val="center"/>
              <w:rPr>
                <w:rFonts w:ascii="Arial" w:hAnsi="Arial" w:cs="Arial"/>
                <w:color w:val="auto"/>
                <w:szCs w:val="21"/>
              </w:rPr>
            </w:pPr>
            <w:r>
              <w:rPr>
                <w:rFonts w:ascii="Arial" w:hAnsi="Arial" w:cs="Arial"/>
                <w:color w:val="auto"/>
                <w:kern w:val="0"/>
                <w:szCs w:val="21"/>
              </w:rPr>
              <w:t>——</w:t>
            </w:r>
          </w:p>
        </w:tc>
      </w:tr>
      <w:tr w14:paraId="783A2480">
        <w:tblPrEx>
          <w:tblCellMar>
            <w:top w:w="0" w:type="dxa"/>
            <w:left w:w="28" w:type="dxa"/>
            <w:bottom w:w="0" w:type="dxa"/>
            <w:right w:w="28" w:type="dxa"/>
          </w:tblCellMar>
        </w:tblPrEx>
        <w:trPr>
          <w:trHeight w:val="1164"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07679">
            <w:pPr>
              <w:jc w:val="center"/>
              <w:rPr>
                <w:rFonts w:ascii="宋体" w:hAnsi="宋体" w:cs="宋体"/>
                <w:color w:val="auto"/>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7715">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上年</w:t>
            </w:r>
          </w:p>
          <w:p w14:paraId="30E4329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结转</w:t>
            </w:r>
          </w:p>
          <w:p w14:paraId="13868256">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3285">
            <w:pPr>
              <w:jc w:val="center"/>
              <w:rPr>
                <w:rFonts w:ascii="宋体" w:hAnsi="宋体" w:cs="宋体"/>
                <w:color w:val="auto"/>
                <w:szCs w:val="21"/>
              </w:rPr>
            </w:pP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9B92C">
            <w:pPr>
              <w:jc w:val="center"/>
              <w:rPr>
                <w:rFonts w:ascii="宋体" w:hAnsi="宋体" w:cs="宋体"/>
                <w:color w:val="auto"/>
                <w:szCs w:val="21"/>
              </w:rPr>
            </w:pP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89607">
            <w:pPr>
              <w:jc w:val="center"/>
              <w:rPr>
                <w:rFonts w:ascii="宋体" w:hAnsi="宋体" w:cs="宋体"/>
                <w:color w:val="auto"/>
                <w:szCs w:val="21"/>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95AA3">
            <w:pPr>
              <w:widowControl/>
              <w:jc w:val="center"/>
              <w:textAlignment w:val="center"/>
              <w:rPr>
                <w:rFonts w:ascii="Arial" w:hAnsi="Arial" w:cs="Arial"/>
                <w:color w:val="auto"/>
                <w:szCs w:val="21"/>
              </w:rPr>
            </w:pPr>
            <w:r>
              <w:rPr>
                <w:rFonts w:ascii="Arial" w:hAnsi="Arial" w:cs="Arial"/>
                <w:color w:val="auto"/>
                <w:kern w:val="0"/>
                <w:szCs w:val="21"/>
              </w:rPr>
              <w:t>——</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376186">
            <w:pPr>
              <w:jc w:val="center"/>
              <w:rPr>
                <w:rFonts w:ascii="宋体" w:hAnsi="宋体" w:cs="宋体"/>
                <w:color w:val="auto"/>
                <w:szCs w:val="21"/>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0209">
            <w:pPr>
              <w:widowControl/>
              <w:jc w:val="center"/>
              <w:textAlignment w:val="center"/>
              <w:rPr>
                <w:rFonts w:ascii="Arial" w:hAnsi="Arial" w:cs="Arial"/>
                <w:color w:val="auto"/>
                <w:szCs w:val="21"/>
              </w:rPr>
            </w:pPr>
            <w:r>
              <w:rPr>
                <w:rFonts w:ascii="Arial" w:hAnsi="Arial" w:cs="Arial"/>
                <w:color w:val="auto"/>
                <w:kern w:val="0"/>
                <w:szCs w:val="21"/>
              </w:rPr>
              <w:t>——</w:t>
            </w:r>
          </w:p>
        </w:tc>
      </w:tr>
      <w:tr w14:paraId="4D97B319">
        <w:tblPrEx>
          <w:tblCellMar>
            <w:top w:w="0" w:type="dxa"/>
            <w:left w:w="28" w:type="dxa"/>
            <w:bottom w:w="0" w:type="dxa"/>
            <w:right w:w="28" w:type="dxa"/>
          </w:tblCellMar>
        </w:tblPrEx>
        <w:trPr>
          <w:trHeight w:val="814"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24D58">
            <w:pPr>
              <w:jc w:val="center"/>
              <w:rPr>
                <w:rFonts w:ascii="宋体" w:hAnsi="宋体" w:cs="宋体"/>
                <w:color w:val="auto"/>
                <w:szCs w:val="21"/>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ADD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其他</w:t>
            </w:r>
          </w:p>
          <w:p w14:paraId="760A1758">
            <w:pPr>
              <w:widowControl/>
              <w:jc w:val="center"/>
              <w:textAlignment w:val="center"/>
              <w:rPr>
                <w:rFonts w:ascii="宋体" w:hAnsi="宋体" w:cs="宋体"/>
                <w:color w:val="auto"/>
                <w:szCs w:val="21"/>
              </w:rPr>
            </w:pPr>
            <w:r>
              <w:rPr>
                <w:rFonts w:hint="eastAsia" w:ascii="宋体" w:hAnsi="宋体" w:cs="宋体"/>
                <w:color w:val="auto"/>
                <w:kern w:val="0"/>
                <w:szCs w:val="21"/>
              </w:rPr>
              <w:t>资金</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0A7D">
            <w:pPr>
              <w:widowControl/>
              <w:jc w:val="center"/>
              <w:textAlignment w:val="center"/>
              <w:rPr>
                <w:color w:val="auto"/>
                <w:szCs w:val="21"/>
              </w:rPr>
            </w:pPr>
            <w:r>
              <w:rPr>
                <w:color w:val="auto"/>
                <w:kern w:val="0"/>
                <w:szCs w:val="21"/>
              </w:rPr>
              <w:t>0</w:t>
            </w:r>
          </w:p>
        </w:tc>
        <w:tc>
          <w:tcPr>
            <w:tcW w:w="17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362FF">
            <w:pPr>
              <w:widowControl/>
              <w:jc w:val="center"/>
              <w:textAlignment w:val="center"/>
              <w:rPr>
                <w:color w:val="auto"/>
                <w:szCs w:val="21"/>
              </w:rPr>
            </w:pPr>
            <w:r>
              <w:rPr>
                <w:color w:val="auto"/>
                <w:kern w:val="0"/>
                <w:szCs w:val="21"/>
              </w:rPr>
              <w:t>0</w:t>
            </w:r>
          </w:p>
        </w:tc>
        <w:tc>
          <w:tcPr>
            <w:tcW w:w="18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8FF85">
            <w:pPr>
              <w:widowControl/>
              <w:jc w:val="center"/>
              <w:textAlignment w:val="center"/>
              <w:rPr>
                <w:color w:val="auto"/>
                <w:szCs w:val="21"/>
              </w:rPr>
            </w:pPr>
            <w:r>
              <w:rPr>
                <w:color w:val="auto"/>
                <w:kern w:val="0"/>
                <w:szCs w:val="21"/>
              </w:rPr>
              <w:t>0</w:t>
            </w:r>
          </w:p>
        </w:tc>
        <w:tc>
          <w:tcPr>
            <w:tcW w:w="8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75D3">
            <w:pPr>
              <w:widowControl/>
              <w:jc w:val="center"/>
              <w:textAlignment w:val="center"/>
              <w:rPr>
                <w:rFonts w:ascii="Arial" w:hAnsi="Arial" w:cs="Arial"/>
                <w:color w:val="auto"/>
                <w:szCs w:val="21"/>
              </w:rPr>
            </w:pPr>
            <w:r>
              <w:rPr>
                <w:rFonts w:ascii="Arial" w:hAnsi="Arial" w:cs="Arial"/>
                <w:color w:val="auto"/>
                <w:kern w:val="0"/>
                <w:szCs w:val="21"/>
              </w:rPr>
              <w:t>——</w:t>
            </w:r>
          </w:p>
        </w:tc>
        <w:tc>
          <w:tcPr>
            <w:tcW w:w="1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9A595">
            <w:pPr>
              <w:widowControl/>
              <w:jc w:val="center"/>
              <w:textAlignment w:val="center"/>
              <w:rPr>
                <w:color w:val="auto"/>
                <w:szCs w:val="21"/>
              </w:rPr>
            </w:pPr>
            <w:r>
              <w:rPr>
                <w:color w:val="auto"/>
                <w:kern w:val="0"/>
                <w:szCs w:val="21"/>
              </w:rPr>
              <w:t>0</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DA3C8">
            <w:pPr>
              <w:widowControl/>
              <w:jc w:val="center"/>
              <w:textAlignment w:val="center"/>
              <w:rPr>
                <w:rFonts w:ascii="Arial" w:hAnsi="Arial" w:cs="Arial"/>
                <w:color w:val="auto"/>
                <w:szCs w:val="21"/>
              </w:rPr>
            </w:pPr>
            <w:r>
              <w:rPr>
                <w:rFonts w:ascii="Arial" w:hAnsi="Arial" w:cs="Arial"/>
                <w:color w:val="auto"/>
                <w:kern w:val="0"/>
                <w:szCs w:val="21"/>
              </w:rPr>
              <w:t>——</w:t>
            </w:r>
          </w:p>
        </w:tc>
      </w:tr>
      <w:tr w14:paraId="004BF472">
        <w:tblPrEx>
          <w:tblCellMar>
            <w:top w:w="0" w:type="dxa"/>
            <w:left w:w="28" w:type="dxa"/>
            <w:bottom w:w="0" w:type="dxa"/>
            <w:right w:w="28" w:type="dxa"/>
          </w:tblCellMar>
        </w:tblPrEx>
        <w:trPr>
          <w:trHeight w:val="744"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5047A">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03EE9533">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总体</w:t>
            </w:r>
          </w:p>
          <w:p w14:paraId="7CA08A75">
            <w:pPr>
              <w:widowControl/>
              <w:jc w:val="center"/>
              <w:textAlignment w:val="center"/>
              <w:rPr>
                <w:rFonts w:ascii="宋体" w:hAnsi="宋体" w:cs="宋体"/>
                <w:color w:val="auto"/>
                <w:szCs w:val="21"/>
              </w:rPr>
            </w:pPr>
            <w:r>
              <w:rPr>
                <w:rFonts w:hint="eastAsia" w:ascii="宋体" w:hAnsi="宋体" w:cs="宋体"/>
                <w:color w:val="auto"/>
                <w:kern w:val="0"/>
                <w:szCs w:val="21"/>
              </w:rPr>
              <w:t>目标</w:t>
            </w:r>
          </w:p>
        </w:tc>
        <w:tc>
          <w:tcPr>
            <w:tcW w:w="41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886EAE">
            <w:pPr>
              <w:widowControl/>
              <w:jc w:val="center"/>
              <w:textAlignment w:val="center"/>
              <w:rPr>
                <w:rFonts w:ascii="宋体" w:hAnsi="宋体" w:cs="宋体"/>
                <w:color w:val="auto"/>
                <w:szCs w:val="21"/>
              </w:rPr>
            </w:pPr>
            <w:r>
              <w:rPr>
                <w:rFonts w:hint="eastAsia" w:ascii="宋体" w:hAnsi="宋体" w:cs="宋体"/>
                <w:color w:val="auto"/>
                <w:kern w:val="0"/>
                <w:szCs w:val="21"/>
              </w:rPr>
              <w:t>预期目标</w:t>
            </w:r>
          </w:p>
        </w:tc>
        <w:tc>
          <w:tcPr>
            <w:tcW w:w="46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8FDB6">
            <w:pPr>
              <w:widowControl/>
              <w:jc w:val="center"/>
              <w:textAlignment w:val="center"/>
              <w:rPr>
                <w:rFonts w:ascii="宋体" w:hAnsi="宋体" w:cs="宋体"/>
                <w:color w:val="auto"/>
                <w:szCs w:val="21"/>
              </w:rPr>
            </w:pPr>
            <w:r>
              <w:rPr>
                <w:rFonts w:hint="eastAsia" w:ascii="宋体" w:hAnsi="宋体" w:cs="宋体"/>
                <w:color w:val="auto"/>
                <w:kern w:val="0"/>
                <w:szCs w:val="21"/>
              </w:rPr>
              <w:t>实际完成情况</w:t>
            </w:r>
          </w:p>
        </w:tc>
      </w:tr>
      <w:tr w14:paraId="312F290E">
        <w:tblPrEx>
          <w:tblCellMar>
            <w:top w:w="0" w:type="dxa"/>
            <w:left w:w="28" w:type="dxa"/>
            <w:bottom w:w="0" w:type="dxa"/>
            <w:right w:w="28" w:type="dxa"/>
          </w:tblCellMar>
        </w:tblPrEx>
        <w:trPr>
          <w:trHeight w:val="256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C35DE">
            <w:pPr>
              <w:jc w:val="center"/>
              <w:rPr>
                <w:rFonts w:ascii="宋体" w:hAnsi="宋体" w:cs="宋体"/>
                <w:color w:val="auto"/>
                <w:szCs w:val="21"/>
              </w:rPr>
            </w:pPr>
          </w:p>
        </w:tc>
        <w:tc>
          <w:tcPr>
            <w:tcW w:w="411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DAD584">
            <w:pPr>
              <w:widowControl/>
              <w:textAlignment w:val="center"/>
              <w:rPr>
                <w:rFonts w:ascii="宋体" w:hAnsi="宋体" w:cs="宋体"/>
                <w:color w:val="auto"/>
                <w:szCs w:val="21"/>
              </w:rPr>
            </w:pPr>
            <w:r>
              <w:rPr>
                <w:rFonts w:hint="eastAsia" w:ascii="宋体" w:hAnsi="宋体" w:cs="宋体"/>
                <w:color w:val="auto"/>
                <w:kern w:val="0"/>
                <w:szCs w:val="21"/>
              </w:rPr>
              <w:t>根据业务装备配备标准，保障我院干警日常办公设备的增加或更换办公用电脑、打印机、复印机、碎纸机、办公桌椅等设备购置费用。</w:t>
            </w:r>
          </w:p>
        </w:tc>
        <w:tc>
          <w:tcPr>
            <w:tcW w:w="46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AF18AB">
            <w:pPr>
              <w:widowControl/>
              <w:textAlignment w:val="center"/>
              <w:rPr>
                <w:rFonts w:ascii="宋体" w:hAnsi="宋体" w:cs="宋体"/>
                <w:color w:val="auto"/>
                <w:szCs w:val="21"/>
              </w:rPr>
            </w:pPr>
            <w:r>
              <w:rPr>
                <w:color w:val="auto"/>
                <w:kern w:val="0"/>
                <w:szCs w:val="21"/>
              </w:rPr>
              <w:t>2025</w:t>
            </w:r>
            <w:r>
              <w:rPr>
                <w:rFonts w:hint="eastAsia" w:ascii="宋体" w:hAnsi="宋体" w:cs="宋体"/>
                <w:color w:val="auto"/>
                <w:kern w:val="0"/>
                <w:szCs w:val="21"/>
              </w:rPr>
              <w:t>年度，业务装备经费项目严格遵循业务装备配备标准，以保障检察履职需求为导向，全面高效落实年度装备采购与配置任务，项目完成情况优异。项目资金执行率为</w:t>
            </w:r>
            <w:r>
              <w:rPr>
                <w:color w:val="auto"/>
                <w:kern w:val="0"/>
                <w:szCs w:val="21"/>
              </w:rPr>
              <w:t>96</w:t>
            </w:r>
            <w:r>
              <w:rPr>
                <w:rFonts w:hint="eastAsia" w:ascii="宋体" w:hAnsi="宋体" w:cs="宋体"/>
                <w:color w:val="auto"/>
                <w:kern w:val="0"/>
                <w:szCs w:val="21"/>
              </w:rPr>
              <w:t>.</w:t>
            </w:r>
            <w:r>
              <w:rPr>
                <w:color w:val="auto"/>
                <w:kern w:val="0"/>
                <w:szCs w:val="21"/>
              </w:rPr>
              <w:t>83</w:t>
            </w:r>
            <w:r>
              <w:rPr>
                <w:rFonts w:hint="eastAsia" w:ascii="宋体" w:hAnsi="宋体" w:cs="宋体"/>
                <w:color w:val="auto"/>
                <w:kern w:val="0"/>
                <w:szCs w:val="21"/>
              </w:rPr>
              <w:t>%，预算执行高效规范。产出方面，政府采购率严格控制在</w:t>
            </w:r>
            <w:r>
              <w:rPr>
                <w:color w:val="auto"/>
                <w:kern w:val="0"/>
                <w:szCs w:val="21"/>
              </w:rPr>
              <w:t>90</w:t>
            </w:r>
            <w:r>
              <w:rPr>
                <w:rFonts w:hint="eastAsia" w:ascii="宋体" w:hAnsi="宋体" w:cs="宋体"/>
                <w:color w:val="auto"/>
                <w:kern w:val="0"/>
                <w:szCs w:val="21"/>
              </w:rPr>
              <w:t>%以上，按计划完成</w:t>
            </w:r>
            <w:r>
              <w:rPr>
                <w:color w:val="auto"/>
                <w:kern w:val="0"/>
                <w:szCs w:val="21"/>
              </w:rPr>
              <w:t>100</w:t>
            </w:r>
            <w:r>
              <w:rPr>
                <w:rFonts w:hint="eastAsia" w:ascii="宋体" w:hAnsi="宋体" w:cs="宋体"/>
                <w:color w:val="auto"/>
                <w:kern w:val="0"/>
                <w:szCs w:val="21"/>
              </w:rPr>
              <w:t>台设备的购置目标，设备质量合格率达</w:t>
            </w:r>
            <w:r>
              <w:rPr>
                <w:color w:val="auto"/>
                <w:kern w:val="0"/>
                <w:szCs w:val="21"/>
              </w:rPr>
              <w:t>100</w:t>
            </w:r>
            <w:r>
              <w:rPr>
                <w:rFonts w:hint="eastAsia" w:ascii="宋体" w:hAnsi="宋体" w:cs="宋体"/>
                <w:color w:val="auto"/>
                <w:kern w:val="0"/>
                <w:szCs w:val="21"/>
              </w:rPr>
              <w:t>%，故障率控制在</w:t>
            </w:r>
            <w:r>
              <w:rPr>
                <w:color w:val="auto"/>
                <w:kern w:val="0"/>
                <w:szCs w:val="21"/>
              </w:rPr>
              <w:t>10</w:t>
            </w:r>
            <w:r>
              <w:rPr>
                <w:rFonts w:hint="eastAsia" w:ascii="宋体" w:hAnsi="宋体" w:cs="宋体"/>
                <w:color w:val="auto"/>
                <w:kern w:val="0"/>
                <w:szCs w:val="21"/>
              </w:rPr>
              <w:t>%以内，所有设备于</w:t>
            </w:r>
            <w:r>
              <w:rPr>
                <w:color w:val="auto"/>
                <w:kern w:val="0"/>
                <w:szCs w:val="21"/>
              </w:rPr>
              <w:t>12</w:t>
            </w:r>
            <w:r>
              <w:rPr>
                <w:rFonts w:hint="eastAsia" w:ascii="宋体" w:hAnsi="宋体" w:cs="宋体"/>
                <w:color w:val="auto"/>
                <w:kern w:val="0"/>
                <w:szCs w:val="21"/>
              </w:rPr>
              <w:t>月底前完成购置与验收，通用设备采购费用严格控制在预算范围之内。虽新增专业技术实验室的设备采购项目导致专用设备采购支出超出原定控制目标，但该项投入对提升科研能力和实验条件具有积极意义。项目的实施显著提升了原有设备技术水平，设备利用率达</w:t>
            </w:r>
            <w:r>
              <w:rPr>
                <w:color w:val="auto"/>
                <w:kern w:val="0"/>
                <w:szCs w:val="21"/>
              </w:rPr>
              <w:t>90</w:t>
            </w:r>
            <w:r>
              <w:rPr>
                <w:rFonts w:hint="eastAsia" w:ascii="宋体" w:hAnsi="宋体" w:cs="宋体"/>
                <w:color w:val="auto"/>
                <w:kern w:val="0"/>
                <w:szCs w:val="21"/>
              </w:rPr>
              <w:t>%，使用年限可超</w:t>
            </w:r>
            <w:r>
              <w:rPr>
                <w:color w:val="auto"/>
                <w:kern w:val="0"/>
                <w:szCs w:val="21"/>
              </w:rPr>
              <w:t>5</w:t>
            </w:r>
            <w:r>
              <w:rPr>
                <w:rFonts w:hint="eastAsia" w:ascii="宋体" w:hAnsi="宋体" w:cs="宋体"/>
                <w:color w:val="auto"/>
                <w:kern w:val="0"/>
                <w:szCs w:val="21"/>
              </w:rPr>
              <w:t>年，使用人员满意度达</w:t>
            </w:r>
            <w:r>
              <w:rPr>
                <w:color w:val="auto"/>
                <w:kern w:val="0"/>
                <w:szCs w:val="21"/>
              </w:rPr>
              <w:t>90</w:t>
            </w:r>
            <w:r>
              <w:rPr>
                <w:rFonts w:hint="eastAsia" w:ascii="宋体" w:hAnsi="宋体" w:cs="宋体"/>
                <w:color w:val="auto"/>
                <w:kern w:val="0"/>
                <w:szCs w:val="21"/>
              </w:rPr>
              <w:t>%，有力改善了办公条件，保障了检察业务高效顺利开展，取得了良好的管理效益和社会效益，圆满达成年度绩效目标。</w:t>
            </w:r>
          </w:p>
        </w:tc>
      </w:tr>
      <w:tr w14:paraId="07AAD4E0">
        <w:tblPrEx>
          <w:tblCellMar>
            <w:top w:w="0" w:type="dxa"/>
            <w:left w:w="28" w:type="dxa"/>
            <w:bottom w:w="0" w:type="dxa"/>
            <w:right w:w="28" w:type="dxa"/>
          </w:tblCellMar>
        </w:tblPrEx>
        <w:trPr>
          <w:trHeight w:val="1528" w:hRule="atLeast"/>
          <w:jc w:val="center"/>
        </w:trPr>
        <w:tc>
          <w:tcPr>
            <w:tcW w:w="4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9404">
            <w:pPr>
              <w:widowControl/>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5817">
            <w:pPr>
              <w:widowControl/>
              <w:jc w:val="center"/>
              <w:textAlignment w:val="center"/>
              <w:rPr>
                <w:rFonts w:ascii="宋体" w:hAnsi="宋体" w:cs="宋体"/>
                <w:color w:val="auto"/>
                <w:szCs w:val="21"/>
              </w:rPr>
            </w:pPr>
            <w:r>
              <w:rPr>
                <w:rFonts w:hint="eastAsia" w:ascii="宋体" w:hAnsi="宋体" w:cs="宋体"/>
                <w:color w:val="auto"/>
                <w:kern w:val="0"/>
                <w:szCs w:val="21"/>
              </w:rPr>
              <w:t>一级指标</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5F6E">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二级</w:t>
            </w:r>
          </w:p>
          <w:p w14:paraId="64977BF0">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0B27">
            <w:pPr>
              <w:widowControl/>
              <w:jc w:val="center"/>
              <w:textAlignment w:val="center"/>
              <w:rPr>
                <w:rFonts w:ascii="宋体" w:hAnsi="宋体" w:cs="宋体"/>
                <w:color w:val="auto"/>
                <w:szCs w:val="21"/>
              </w:rPr>
            </w:pPr>
            <w:r>
              <w:rPr>
                <w:rFonts w:hint="eastAsia" w:ascii="宋体" w:hAnsi="宋体" w:cs="宋体"/>
                <w:color w:val="auto"/>
                <w:kern w:val="0"/>
                <w:szCs w:val="21"/>
              </w:rPr>
              <w:t>三级指标</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D6FC">
            <w:pPr>
              <w:widowControl/>
              <w:jc w:val="center"/>
              <w:textAlignment w:val="center"/>
              <w:rPr>
                <w:rFonts w:ascii="宋体" w:hAnsi="宋体" w:cs="宋体"/>
                <w:color w:val="auto"/>
                <w:szCs w:val="21"/>
              </w:rPr>
            </w:pPr>
            <w:r>
              <w:rPr>
                <w:rFonts w:hint="eastAsia" w:ascii="宋体" w:hAnsi="宋体" w:cs="宋体"/>
                <w:color w:val="auto"/>
                <w:kern w:val="0"/>
                <w:szCs w:val="21"/>
              </w:rPr>
              <w:t>指标性质</w:t>
            </w:r>
          </w:p>
        </w:tc>
        <w:tc>
          <w:tcPr>
            <w:tcW w:w="10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6017">
            <w:pPr>
              <w:widowControl/>
              <w:jc w:val="center"/>
              <w:textAlignment w:val="center"/>
              <w:rPr>
                <w:rFonts w:ascii="宋体" w:hAnsi="宋体" w:cs="宋体"/>
                <w:color w:val="auto"/>
                <w:szCs w:val="21"/>
              </w:rPr>
            </w:pPr>
            <w:r>
              <w:rPr>
                <w:rFonts w:hint="eastAsia" w:ascii="宋体" w:hAnsi="宋体" w:cs="宋体"/>
                <w:color w:val="auto"/>
                <w:kern w:val="0"/>
                <w:szCs w:val="21"/>
              </w:rPr>
              <w:t>指标方向</w:t>
            </w:r>
          </w:p>
        </w:tc>
        <w:tc>
          <w:tcPr>
            <w:tcW w:w="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C9DE">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年度</w:t>
            </w:r>
          </w:p>
          <w:p w14:paraId="5A4E9414">
            <w:pPr>
              <w:widowControl/>
              <w:jc w:val="center"/>
              <w:textAlignment w:val="center"/>
              <w:rPr>
                <w:rFonts w:ascii="宋体" w:hAnsi="宋体" w:cs="宋体"/>
                <w:color w:val="auto"/>
                <w:szCs w:val="21"/>
              </w:rPr>
            </w:pPr>
            <w:r>
              <w:rPr>
                <w:rFonts w:hint="eastAsia" w:ascii="宋体" w:hAnsi="宋体" w:cs="宋体"/>
                <w:color w:val="auto"/>
                <w:kern w:val="0"/>
                <w:szCs w:val="21"/>
              </w:rPr>
              <w:t>指标值</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A62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实际</w:t>
            </w:r>
          </w:p>
          <w:p w14:paraId="444DD754">
            <w:pPr>
              <w:widowControl/>
              <w:jc w:val="center"/>
              <w:textAlignment w:val="center"/>
              <w:rPr>
                <w:rFonts w:ascii="宋体" w:hAnsi="宋体" w:cs="宋体"/>
                <w:color w:val="auto"/>
                <w:szCs w:val="21"/>
              </w:rPr>
            </w:pPr>
            <w:r>
              <w:rPr>
                <w:rFonts w:hint="eastAsia" w:ascii="宋体" w:hAnsi="宋体" w:cs="宋体"/>
                <w:color w:val="auto"/>
                <w:kern w:val="0"/>
                <w:szCs w:val="21"/>
              </w:rPr>
              <w:t>完成值</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D08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计量</w:t>
            </w:r>
          </w:p>
          <w:p w14:paraId="733845DF">
            <w:pPr>
              <w:widowControl/>
              <w:jc w:val="center"/>
              <w:textAlignment w:val="center"/>
              <w:rPr>
                <w:rFonts w:ascii="宋体" w:hAnsi="宋体" w:cs="宋体"/>
                <w:color w:val="auto"/>
                <w:szCs w:val="21"/>
              </w:rPr>
            </w:pPr>
            <w:r>
              <w:rPr>
                <w:rFonts w:hint="eastAsia" w:ascii="宋体" w:hAnsi="宋体" w:cs="宋体"/>
                <w:color w:val="auto"/>
                <w:kern w:val="0"/>
                <w:szCs w:val="21"/>
              </w:rPr>
              <w:t>单位</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2EF4">
            <w:pPr>
              <w:widowControl/>
              <w:jc w:val="center"/>
              <w:textAlignment w:val="center"/>
              <w:rPr>
                <w:rFonts w:ascii="宋体" w:hAnsi="宋体" w:cs="宋体"/>
                <w:color w:val="auto"/>
                <w:szCs w:val="21"/>
              </w:rPr>
            </w:pPr>
            <w:r>
              <w:rPr>
                <w:rFonts w:hint="eastAsia" w:ascii="宋体" w:hAnsi="宋体" w:cs="宋体"/>
                <w:color w:val="auto"/>
                <w:kern w:val="0"/>
                <w:szCs w:val="21"/>
              </w:rPr>
              <w:t>分值</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CA20">
            <w:pPr>
              <w:widowControl/>
              <w:jc w:val="center"/>
              <w:textAlignment w:val="center"/>
              <w:rPr>
                <w:rFonts w:ascii="宋体" w:hAnsi="宋体" w:cs="宋体"/>
                <w:color w:val="auto"/>
                <w:szCs w:val="21"/>
              </w:rPr>
            </w:pPr>
            <w:r>
              <w:rPr>
                <w:rFonts w:hint="eastAsia" w:ascii="宋体" w:hAnsi="宋体" w:cs="宋体"/>
                <w:color w:val="auto"/>
                <w:kern w:val="0"/>
                <w:szCs w:val="21"/>
              </w:rPr>
              <w:t>得分</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5E9C">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偏差原因</w:t>
            </w:r>
          </w:p>
          <w:p w14:paraId="5A3A66AA">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分析及</w:t>
            </w:r>
          </w:p>
          <w:p w14:paraId="50158411">
            <w:pPr>
              <w:widowControl/>
              <w:jc w:val="center"/>
              <w:textAlignment w:val="center"/>
              <w:rPr>
                <w:rFonts w:ascii="宋体" w:hAnsi="宋体" w:cs="宋体"/>
                <w:color w:val="auto"/>
                <w:szCs w:val="21"/>
              </w:rPr>
            </w:pPr>
            <w:r>
              <w:rPr>
                <w:rFonts w:hint="eastAsia" w:ascii="宋体" w:hAnsi="宋体" w:cs="宋体"/>
                <w:color w:val="auto"/>
                <w:kern w:val="0"/>
                <w:szCs w:val="21"/>
              </w:rPr>
              <w:t>改进措施</w:t>
            </w:r>
          </w:p>
        </w:tc>
      </w:tr>
      <w:tr w14:paraId="40431127">
        <w:tblPrEx>
          <w:tblCellMar>
            <w:top w:w="0" w:type="dxa"/>
            <w:left w:w="28" w:type="dxa"/>
            <w:bottom w:w="0" w:type="dxa"/>
            <w:right w:w="28" w:type="dxa"/>
          </w:tblCellMar>
        </w:tblPrEx>
        <w:trPr>
          <w:trHeight w:val="840" w:hRule="atLeast"/>
          <w:jc w:val="center"/>
        </w:trPr>
        <w:tc>
          <w:tcPr>
            <w:tcW w:w="428" w:type="dxa"/>
            <w:vMerge w:val="restart"/>
            <w:tcBorders>
              <w:top w:val="single" w:color="000000" w:sz="4" w:space="0"/>
              <w:left w:val="single" w:color="000000" w:sz="4" w:space="0"/>
              <w:bottom w:val="nil"/>
              <w:right w:val="single" w:color="000000" w:sz="4" w:space="0"/>
            </w:tcBorders>
            <w:shd w:val="clear" w:color="auto" w:fill="auto"/>
            <w:vAlign w:val="center"/>
          </w:tcPr>
          <w:p w14:paraId="520C5464">
            <w:pPr>
              <w:widowControl/>
              <w:jc w:val="center"/>
              <w:textAlignment w:val="center"/>
              <w:rPr>
                <w:rFonts w:ascii="宋体" w:hAnsi="宋体" w:cs="宋体"/>
                <w:color w:val="auto"/>
                <w:szCs w:val="21"/>
              </w:rPr>
            </w:pPr>
            <w:r>
              <w:rPr>
                <w:rFonts w:hint="eastAsia" w:ascii="宋体" w:hAnsi="宋体" w:cs="宋体"/>
                <w:color w:val="auto"/>
                <w:kern w:val="0"/>
                <w:szCs w:val="21"/>
              </w:rPr>
              <w:t>绩效指标</w:t>
            </w:r>
          </w:p>
        </w:tc>
        <w:tc>
          <w:tcPr>
            <w:tcW w:w="439" w:type="dxa"/>
            <w:vMerge w:val="restart"/>
            <w:tcBorders>
              <w:top w:val="single" w:color="000000" w:sz="4" w:space="0"/>
              <w:left w:val="single" w:color="000000" w:sz="4" w:space="0"/>
              <w:bottom w:val="nil"/>
              <w:right w:val="single" w:color="000000" w:sz="4" w:space="0"/>
            </w:tcBorders>
            <w:shd w:val="clear" w:color="auto" w:fill="auto"/>
            <w:vAlign w:val="center"/>
          </w:tcPr>
          <w:p w14:paraId="461B20E8">
            <w:pPr>
              <w:widowControl/>
              <w:jc w:val="center"/>
              <w:textAlignment w:val="center"/>
              <w:rPr>
                <w:rFonts w:ascii="宋体" w:hAnsi="宋体" w:cs="宋体"/>
                <w:color w:val="auto"/>
                <w:szCs w:val="21"/>
              </w:rPr>
            </w:pPr>
            <w:r>
              <w:rPr>
                <w:rFonts w:hint="eastAsia" w:ascii="宋体" w:hAnsi="宋体" w:cs="宋体"/>
                <w:color w:val="auto"/>
                <w:kern w:val="0"/>
                <w:szCs w:val="21"/>
              </w:rPr>
              <w:t>产出指标</w:t>
            </w: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52BD290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数量</w:t>
            </w:r>
          </w:p>
          <w:p w14:paraId="270A93DC">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5DC8A10D">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政府</w:t>
            </w:r>
          </w:p>
          <w:p w14:paraId="23D26110">
            <w:pPr>
              <w:widowControl/>
              <w:jc w:val="center"/>
              <w:textAlignment w:val="center"/>
              <w:rPr>
                <w:rFonts w:ascii="宋体" w:hAnsi="宋体" w:cs="宋体"/>
                <w:color w:val="auto"/>
                <w:szCs w:val="21"/>
              </w:rPr>
            </w:pPr>
            <w:r>
              <w:rPr>
                <w:rFonts w:hint="eastAsia" w:ascii="宋体" w:hAnsi="宋体" w:cs="宋体"/>
                <w:color w:val="auto"/>
                <w:kern w:val="0"/>
                <w:szCs w:val="21"/>
              </w:rPr>
              <w:t>采购率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4B28DC18">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0AF3C2E6">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4D665D45">
            <w:pPr>
              <w:widowControl/>
              <w:jc w:val="center"/>
              <w:textAlignment w:val="center"/>
              <w:rPr>
                <w:rFonts w:ascii="宋体" w:hAnsi="宋体" w:cs="宋体"/>
                <w:color w:val="auto"/>
                <w:szCs w:val="21"/>
              </w:rPr>
            </w:pPr>
            <w:r>
              <w:rPr>
                <w:color w:val="auto"/>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7A5F7CF8">
            <w:pPr>
              <w:widowControl/>
              <w:jc w:val="center"/>
              <w:textAlignment w:val="center"/>
              <w:rPr>
                <w:rFonts w:ascii="宋体" w:hAnsi="宋体" w:cs="宋体"/>
                <w:color w:val="auto"/>
                <w:szCs w:val="21"/>
              </w:rPr>
            </w:pPr>
            <w:r>
              <w:rPr>
                <w:color w:val="auto"/>
                <w:kern w:val="0"/>
                <w:szCs w:val="21"/>
              </w:rPr>
              <w:t>90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63678EFA">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4ED8545B">
            <w:pPr>
              <w:widowControl/>
              <w:jc w:val="center"/>
              <w:textAlignment w:val="center"/>
              <w:rPr>
                <w:rFonts w:ascii="宋体" w:hAnsi="宋体" w:cs="宋体"/>
                <w:color w:val="auto"/>
                <w:szCs w:val="21"/>
              </w:rPr>
            </w:pPr>
            <w:r>
              <w:rPr>
                <w:color w:val="auto"/>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D8FE2B8">
            <w:pPr>
              <w:widowControl/>
              <w:jc w:val="center"/>
              <w:textAlignment w:val="center"/>
              <w:rPr>
                <w:rFonts w:ascii="宋体" w:hAnsi="宋体" w:cs="宋体"/>
                <w:color w:val="auto"/>
                <w:szCs w:val="21"/>
              </w:rPr>
            </w:pPr>
            <w:r>
              <w:rPr>
                <w:color w:val="auto"/>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66BEF91A">
            <w:pPr>
              <w:jc w:val="center"/>
              <w:rPr>
                <w:rFonts w:ascii="宋体" w:hAnsi="宋体" w:cs="宋体"/>
                <w:color w:val="auto"/>
                <w:szCs w:val="21"/>
              </w:rPr>
            </w:pPr>
          </w:p>
        </w:tc>
      </w:tr>
      <w:tr w14:paraId="1E63D9EE">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60FD0A95">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219199B0">
            <w:pPr>
              <w:jc w:val="center"/>
              <w:rPr>
                <w:rFonts w:ascii="宋体" w:hAnsi="宋体" w:cs="宋体"/>
                <w:color w:val="auto"/>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29A6E196">
            <w:pPr>
              <w:jc w:val="center"/>
              <w:rPr>
                <w:rFonts w:ascii="宋体" w:hAnsi="宋体" w:cs="宋体"/>
                <w:color w:val="auto"/>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694AF7B0">
            <w:pPr>
              <w:widowControl/>
              <w:jc w:val="center"/>
              <w:textAlignment w:val="center"/>
              <w:rPr>
                <w:rFonts w:ascii="宋体" w:hAnsi="宋体" w:cs="宋体"/>
                <w:color w:val="auto"/>
                <w:szCs w:val="21"/>
              </w:rPr>
            </w:pPr>
            <w:r>
              <w:rPr>
                <w:rFonts w:hint="eastAsia" w:ascii="宋体" w:hAnsi="宋体" w:cs="宋体"/>
                <w:color w:val="auto"/>
                <w:kern w:val="0"/>
                <w:szCs w:val="21"/>
              </w:rPr>
              <w:t>购置设备数量</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70D7FB30">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5D32A707">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5776AA86">
            <w:pPr>
              <w:widowControl/>
              <w:jc w:val="center"/>
              <w:textAlignment w:val="center"/>
              <w:rPr>
                <w:rFonts w:ascii="宋体" w:hAnsi="宋体" w:cs="宋体"/>
                <w:color w:val="auto"/>
                <w:szCs w:val="21"/>
              </w:rPr>
            </w:pPr>
            <w:r>
              <w:rPr>
                <w:color w:val="auto"/>
                <w:kern w:val="0"/>
                <w:szCs w:val="21"/>
              </w:rPr>
              <w:t>100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15029A15">
            <w:pPr>
              <w:widowControl/>
              <w:jc w:val="center"/>
              <w:textAlignment w:val="center"/>
              <w:rPr>
                <w:rFonts w:ascii="宋体" w:hAnsi="宋体" w:cs="宋体"/>
                <w:color w:val="auto"/>
                <w:szCs w:val="21"/>
              </w:rPr>
            </w:pPr>
            <w:r>
              <w:rPr>
                <w:color w:val="auto"/>
                <w:kern w:val="0"/>
                <w:szCs w:val="21"/>
              </w:rPr>
              <w:t>100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40C2774E">
            <w:pPr>
              <w:widowControl/>
              <w:jc w:val="center"/>
              <w:textAlignment w:val="center"/>
              <w:rPr>
                <w:rFonts w:ascii="宋体" w:hAnsi="宋体" w:cs="宋体"/>
                <w:color w:val="auto"/>
                <w:szCs w:val="21"/>
              </w:rPr>
            </w:pPr>
            <w:r>
              <w:rPr>
                <w:rFonts w:hint="eastAsia" w:ascii="宋体" w:hAnsi="宋体" w:cs="宋体"/>
                <w:color w:val="auto"/>
                <w:kern w:val="0"/>
                <w:szCs w:val="21"/>
              </w:rPr>
              <w:t>台</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1B0100F4">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035EA7B4">
            <w:pPr>
              <w:widowControl/>
              <w:jc w:val="center"/>
              <w:textAlignment w:val="center"/>
              <w:rPr>
                <w:color w:val="auto"/>
                <w:szCs w:val="21"/>
              </w:rPr>
            </w:pPr>
            <w:r>
              <w:rPr>
                <w:color w:val="auto"/>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762D1F65">
            <w:pPr>
              <w:jc w:val="center"/>
              <w:rPr>
                <w:rFonts w:ascii="宋体" w:hAnsi="宋体" w:cs="宋体"/>
                <w:color w:val="auto"/>
                <w:szCs w:val="21"/>
              </w:rPr>
            </w:pPr>
          </w:p>
        </w:tc>
      </w:tr>
      <w:tr w14:paraId="74B746EC">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02ADD847">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0A6247F5">
            <w:pPr>
              <w:jc w:val="center"/>
              <w:rPr>
                <w:rFonts w:ascii="宋体" w:hAnsi="宋体" w:cs="宋体"/>
                <w:color w:val="auto"/>
                <w:szCs w:val="21"/>
              </w:rPr>
            </w:pP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2875C87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质量</w:t>
            </w:r>
          </w:p>
          <w:p w14:paraId="0D449B54">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3654855F">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设备</w:t>
            </w:r>
          </w:p>
          <w:p w14:paraId="627B6965">
            <w:pPr>
              <w:widowControl/>
              <w:jc w:val="center"/>
              <w:textAlignment w:val="center"/>
              <w:rPr>
                <w:rFonts w:ascii="宋体" w:hAnsi="宋体" w:cs="宋体"/>
                <w:color w:val="auto"/>
                <w:szCs w:val="21"/>
              </w:rPr>
            </w:pPr>
            <w:r>
              <w:rPr>
                <w:rFonts w:hint="eastAsia" w:ascii="宋体" w:hAnsi="宋体" w:cs="宋体"/>
                <w:color w:val="auto"/>
                <w:kern w:val="0"/>
                <w:szCs w:val="21"/>
              </w:rPr>
              <w:t>故障率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411397DD">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2962E60C">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19CCE557">
            <w:pPr>
              <w:widowControl/>
              <w:jc w:val="center"/>
              <w:textAlignment w:val="center"/>
              <w:rPr>
                <w:rFonts w:ascii="宋体" w:hAnsi="宋体" w:cs="宋体"/>
                <w:color w:val="auto"/>
                <w:szCs w:val="21"/>
              </w:rPr>
            </w:pPr>
            <w:r>
              <w:rPr>
                <w:color w:val="auto"/>
                <w:kern w:val="0"/>
                <w:szCs w:val="21"/>
              </w:rPr>
              <w:t>10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7712B44B">
            <w:pPr>
              <w:widowControl/>
              <w:jc w:val="center"/>
              <w:textAlignment w:val="center"/>
              <w:rPr>
                <w:rFonts w:ascii="宋体" w:hAnsi="宋体" w:cs="宋体"/>
                <w:color w:val="auto"/>
                <w:szCs w:val="21"/>
              </w:rPr>
            </w:pPr>
            <w:r>
              <w:rPr>
                <w:color w:val="auto"/>
                <w:kern w:val="0"/>
                <w:szCs w:val="21"/>
              </w:rPr>
              <w:t>10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650D6522">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3AFDB4F5">
            <w:pPr>
              <w:widowControl/>
              <w:jc w:val="center"/>
              <w:textAlignment w:val="center"/>
              <w:rPr>
                <w:rFonts w:ascii="宋体" w:hAnsi="宋体" w:cs="宋体"/>
                <w:color w:val="auto"/>
                <w:szCs w:val="21"/>
              </w:rPr>
            </w:pPr>
            <w:r>
              <w:rPr>
                <w:color w:val="auto"/>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F677B2A">
            <w:pPr>
              <w:widowControl/>
              <w:jc w:val="center"/>
              <w:textAlignment w:val="center"/>
              <w:rPr>
                <w:rFonts w:ascii="宋体" w:hAnsi="宋体" w:cs="宋体"/>
                <w:color w:val="auto"/>
                <w:szCs w:val="21"/>
              </w:rPr>
            </w:pPr>
            <w:r>
              <w:rPr>
                <w:color w:val="auto"/>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6BDFE568">
            <w:pPr>
              <w:jc w:val="center"/>
              <w:rPr>
                <w:rFonts w:ascii="宋体" w:hAnsi="宋体" w:cs="宋体"/>
                <w:color w:val="auto"/>
                <w:szCs w:val="21"/>
              </w:rPr>
            </w:pPr>
          </w:p>
        </w:tc>
      </w:tr>
      <w:tr w14:paraId="5ED82AA9">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5EB2C7A2">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34173334">
            <w:pPr>
              <w:jc w:val="center"/>
              <w:rPr>
                <w:rFonts w:ascii="宋体" w:hAnsi="宋体" w:cs="宋体"/>
                <w:color w:val="auto"/>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3A13C12D">
            <w:pPr>
              <w:jc w:val="center"/>
              <w:rPr>
                <w:rFonts w:ascii="宋体" w:hAnsi="宋体" w:cs="宋体"/>
                <w:color w:val="auto"/>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19B117C0">
            <w:pPr>
              <w:widowControl/>
              <w:jc w:val="center"/>
              <w:textAlignment w:val="center"/>
              <w:rPr>
                <w:rFonts w:ascii="宋体" w:hAnsi="宋体" w:cs="宋体"/>
                <w:color w:val="auto"/>
                <w:szCs w:val="21"/>
              </w:rPr>
            </w:pPr>
            <w:r>
              <w:rPr>
                <w:rFonts w:hint="eastAsia" w:ascii="宋体" w:hAnsi="宋体" w:cs="宋体"/>
                <w:color w:val="auto"/>
                <w:kern w:val="0"/>
                <w:szCs w:val="21"/>
              </w:rPr>
              <w:t>设备质量合格率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27DD0E5B">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3FE60FF5">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095255E6">
            <w:pPr>
              <w:widowControl/>
              <w:jc w:val="center"/>
              <w:textAlignment w:val="center"/>
              <w:rPr>
                <w:rFonts w:ascii="宋体" w:hAnsi="宋体" w:cs="宋体"/>
                <w:color w:val="auto"/>
                <w:szCs w:val="21"/>
              </w:rPr>
            </w:pPr>
            <w:r>
              <w:rPr>
                <w:color w:val="auto"/>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347F317B">
            <w:pPr>
              <w:widowControl/>
              <w:jc w:val="center"/>
              <w:textAlignment w:val="center"/>
              <w:rPr>
                <w:rFonts w:ascii="宋体" w:hAnsi="宋体" w:cs="宋体"/>
                <w:color w:val="auto"/>
                <w:szCs w:val="21"/>
              </w:rPr>
            </w:pPr>
            <w:r>
              <w:rPr>
                <w:color w:val="auto"/>
                <w:kern w:val="0"/>
                <w:szCs w:val="21"/>
              </w:rPr>
              <w:t>100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4F19D59">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0BAB35F6">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146A851">
            <w:pPr>
              <w:widowControl/>
              <w:jc w:val="center"/>
              <w:textAlignment w:val="center"/>
              <w:rPr>
                <w:color w:val="auto"/>
                <w:szCs w:val="21"/>
              </w:rPr>
            </w:pPr>
            <w:r>
              <w:rPr>
                <w:color w:val="auto"/>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23B51CF3">
            <w:pPr>
              <w:widowControl/>
              <w:jc w:val="center"/>
              <w:textAlignment w:val="center"/>
              <w:rPr>
                <w:rFonts w:ascii="宋体" w:hAnsi="宋体" w:cs="宋体"/>
                <w:color w:val="auto"/>
                <w:szCs w:val="21"/>
              </w:rPr>
            </w:pPr>
          </w:p>
        </w:tc>
      </w:tr>
      <w:tr w14:paraId="58190AFB">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3B4C00F0">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454E38B0">
            <w:pPr>
              <w:jc w:val="center"/>
              <w:rPr>
                <w:rFonts w:ascii="宋体" w:hAnsi="宋体" w:cs="宋体"/>
                <w:color w:val="auto"/>
                <w:szCs w:val="21"/>
              </w:rPr>
            </w:pP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7A424684">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时效</w:t>
            </w:r>
          </w:p>
          <w:p w14:paraId="249A459D">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1C43D5F8">
            <w:pPr>
              <w:widowControl/>
              <w:jc w:val="center"/>
              <w:textAlignment w:val="center"/>
              <w:rPr>
                <w:rFonts w:ascii="宋体" w:hAnsi="宋体" w:cs="宋体"/>
                <w:color w:val="auto"/>
                <w:szCs w:val="21"/>
              </w:rPr>
            </w:pPr>
            <w:r>
              <w:rPr>
                <w:rFonts w:hint="eastAsia" w:ascii="宋体" w:hAnsi="宋体" w:cs="宋体"/>
                <w:color w:val="auto"/>
                <w:kern w:val="0"/>
                <w:szCs w:val="21"/>
              </w:rPr>
              <w:t>设备购置完成时间</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1EBAC94D">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177BD23F">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1D9D3D3F">
            <w:pPr>
              <w:widowControl/>
              <w:jc w:val="center"/>
              <w:textAlignment w:val="center"/>
              <w:rPr>
                <w:rFonts w:ascii="宋体" w:hAnsi="宋体" w:cs="宋体"/>
                <w:color w:val="auto"/>
                <w:szCs w:val="21"/>
              </w:rPr>
            </w:pPr>
            <w:r>
              <w:rPr>
                <w:color w:val="auto"/>
                <w:kern w:val="0"/>
                <w:szCs w:val="21"/>
              </w:rPr>
              <w:t>12</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544F09FB">
            <w:pPr>
              <w:widowControl/>
              <w:jc w:val="center"/>
              <w:textAlignment w:val="center"/>
              <w:rPr>
                <w:rFonts w:ascii="宋体" w:hAnsi="宋体" w:cs="宋体"/>
                <w:color w:val="auto"/>
                <w:szCs w:val="21"/>
              </w:rPr>
            </w:pPr>
            <w:r>
              <w:rPr>
                <w:color w:val="auto"/>
                <w:kern w:val="0"/>
                <w:szCs w:val="21"/>
              </w:rPr>
              <w:t>12</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5C360B1C">
            <w:pPr>
              <w:widowControl/>
              <w:jc w:val="center"/>
              <w:textAlignment w:val="center"/>
              <w:rPr>
                <w:rFonts w:ascii="宋体" w:hAnsi="宋体" w:cs="宋体"/>
                <w:color w:val="auto"/>
                <w:szCs w:val="21"/>
              </w:rPr>
            </w:pPr>
            <w:r>
              <w:rPr>
                <w:rFonts w:hint="eastAsia" w:ascii="宋体" w:hAnsi="宋体" w:cs="宋体"/>
                <w:color w:val="auto"/>
                <w:kern w:val="0"/>
                <w:szCs w:val="21"/>
              </w:rPr>
              <w:t>月</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3D3FAD27">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6F3A0C83">
            <w:pPr>
              <w:widowControl/>
              <w:jc w:val="center"/>
              <w:textAlignment w:val="center"/>
              <w:rPr>
                <w:color w:val="auto"/>
                <w:szCs w:val="21"/>
              </w:rPr>
            </w:pPr>
            <w:r>
              <w:rPr>
                <w:color w:val="auto"/>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41AA510D">
            <w:pPr>
              <w:jc w:val="center"/>
              <w:rPr>
                <w:rFonts w:ascii="宋体" w:hAnsi="宋体" w:cs="宋体"/>
                <w:color w:val="auto"/>
                <w:szCs w:val="21"/>
              </w:rPr>
            </w:pPr>
          </w:p>
        </w:tc>
      </w:tr>
      <w:tr w14:paraId="2D4EAA99">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441F8DA0">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623E3728">
            <w:pPr>
              <w:jc w:val="center"/>
              <w:rPr>
                <w:rFonts w:ascii="宋体" w:hAnsi="宋体" w:cs="宋体"/>
                <w:color w:val="auto"/>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5065CDDA">
            <w:pPr>
              <w:jc w:val="center"/>
              <w:rPr>
                <w:rFonts w:ascii="宋体" w:hAnsi="宋体" w:cs="宋体"/>
                <w:color w:val="auto"/>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337C4A7D">
            <w:pPr>
              <w:widowControl/>
              <w:jc w:val="center"/>
              <w:textAlignment w:val="center"/>
              <w:rPr>
                <w:rFonts w:ascii="宋体" w:hAnsi="宋体" w:cs="宋体"/>
                <w:color w:val="auto"/>
                <w:szCs w:val="21"/>
              </w:rPr>
            </w:pPr>
            <w:r>
              <w:rPr>
                <w:rFonts w:hint="eastAsia" w:ascii="宋体" w:hAnsi="宋体" w:cs="宋体"/>
                <w:color w:val="auto"/>
                <w:kern w:val="0"/>
                <w:szCs w:val="21"/>
              </w:rPr>
              <w:t>设备验收及时率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0637EB8B">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0D495564">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2CC2654B">
            <w:pPr>
              <w:widowControl/>
              <w:jc w:val="center"/>
              <w:textAlignment w:val="center"/>
              <w:rPr>
                <w:rFonts w:ascii="宋体" w:hAnsi="宋体" w:cs="宋体"/>
                <w:color w:val="auto"/>
                <w:szCs w:val="21"/>
              </w:rPr>
            </w:pPr>
            <w:r>
              <w:rPr>
                <w:color w:val="auto"/>
                <w:kern w:val="0"/>
                <w:szCs w:val="21"/>
              </w:rPr>
              <w:t>95</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079EB2FB">
            <w:pPr>
              <w:widowControl/>
              <w:jc w:val="center"/>
              <w:textAlignment w:val="center"/>
              <w:rPr>
                <w:rFonts w:ascii="宋体" w:hAnsi="宋体" w:cs="宋体"/>
                <w:color w:val="auto"/>
                <w:szCs w:val="21"/>
              </w:rPr>
            </w:pPr>
            <w:r>
              <w:rPr>
                <w:color w:val="auto"/>
                <w:kern w:val="0"/>
                <w:szCs w:val="21"/>
              </w:rPr>
              <w:t>95</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0BD8A701">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7250CEEF">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E2BBC33">
            <w:pPr>
              <w:widowControl/>
              <w:jc w:val="center"/>
              <w:textAlignment w:val="center"/>
              <w:rPr>
                <w:color w:val="auto"/>
                <w:szCs w:val="21"/>
              </w:rPr>
            </w:pPr>
            <w:r>
              <w:rPr>
                <w:color w:val="auto"/>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2BA95A3F">
            <w:pPr>
              <w:jc w:val="center"/>
              <w:rPr>
                <w:rFonts w:ascii="宋体" w:hAnsi="宋体" w:cs="宋体"/>
                <w:color w:val="auto"/>
                <w:szCs w:val="21"/>
              </w:rPr>
            </w:pPr>
          </w:p>
        </w:tc>
      </w:tr>
      <w:tr w14:paraId="7B2C4D21">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6A24D7E1">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7DE15225">
            <w:pPr>
              <w:jc w:val="center"/>
              <w:rPr>
                <w:rFonts w:ascii="宋体" w:hAnsi="宋体" w:cs="宋体"/>
                <w:color w:val="auto"/>
                <w:szCs w:val="21"/>
              </w:rPr>
            </w:pP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4ACAE649">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成本</w:t>
            </w:r>
          </w:p>
          <w:p w14:paraId="69A59CFE">
            <w:pPr>
              <w:widowControl/>
              <w:jc w:val="center"/>
              <w:textAlignment w:val="center"/>
              <w:rPr>
                <w:rFonts w:ascii="宋体" w:hAnsi="宋体" w:cs="宋体"/>
                <w:color w:val="auto"/>
                <w:szCs w:val="21"/>
              </w:rPr>
            </w:pPr>
            <w:r>
              <w:rPr>
                <w:rFonts w:hint="eastAsia" w:ascii="宋体" w:hAnsi="宋体" w:cs="宋体"/>
                <w:color w:val="auto"/>
                <w:kern w:val="0"/>
                <w:szCs w:val="21"/>
              </w:rPr>
              <w:t>指标</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1C9FAE50">
            <w:pPr>
              <w:widowControl/>
              <w:jc w:val="center"/>
              <w:textAlignment w:val="center"/>
              <w:rPr>
                <w:rFonts w:ascii="宋体" w:hAnsi="宋体" w:cs="宋体"/>
                <w:color w:val="auto"/>
                <w:szCs w:val="21"/>
              </w:rPr>
            </w:pPr>
            <w:r>
              <w:rPr>
                <w:rFonts w:hint="eastAsia" w:ascii="宋体" w:hAnsi="宋体" w:cs="宋体"/>
                <w:color w:val="auto"/>
                <w:kern w:val="0"/>
                <w:szCs w:val="21"/>
              </w:rPr>
              <w:t>通用设备采购费用</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5C75782B">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3D9C67B6">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644B2F2F">
            <w:pPr>
              <w:widowControl/>
              <w:jc w:val="center"/>
              <w:textAlignment w:val="center"/>
              <w:rPr>
                <w:rFonts w:ascii="宋体" w:hAnsi="宋体" w:cs="宋体"/>
                <w:color w:val="auto"/>
                <w:szCs w:val="21"/>
              </w:rPr>
            </w:pPr>
            <w:r>
              <w:rPr>
                <w:color w:val="auto"/>
                <w:kern w:val="0"/>
                <w:szCs w:val="21"/>
              </w:rPr>
              <w:t>250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517D929A">
            <w:pPr>
              <w:widowControl/>
              <w:jc w:val="center"/>
              <w:textAlignment w:val="center"/>
              <w:rPr>
                <w:rFonts w:ascii="宋体" w:hAnsi="宋体" w:cs="宋体"/>
                <w:color w:val="auto"/>
                <w:szCs w:val="21"/>
              </w:rPr>
            </w:pPr>
            <w:r>
              <w:rPr>
                <w:color w:val="auto"/>
                <w:kern w:val="0"/>
                <w:szCs w:val="21"/>
              </w:rPr>
              <w:t>236</w:t>
            </w:r>
            <w:r>
              <w:rPr>
                <w:rFonts w:hint="eastAsia" w:ascii="宋体" w:hAnsi="宋体" w:cs="宋体"/>
                <w:color w:val="auto"/>
                <w:kern w:val="0"/>
                <w:szCs w:val="21"/>
              </w:rPr>
              <w:t>.</w:t>
            </w:r>
            <w:r>
              <w:rPr>
                <w:color w:val="auto"/>
                <w:kern w:val="0"/>
                <w:szCs w:val="21"/>
              </w:rPr>
              <w:t>19</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4DF769C2">
            <w:pPr>
              <w:widowControl/>
              <w:jc w:val="center"/>
              <w:textAlignment w:val="center"/>
              <w:rPr>
                <w:rFonts w:ascii="宋体" w:hAnsi="宋体" w:cs="宋体"/>
                <w:color w:val="auto"/>
                <w:szCs w:val="21"/>
              </w:rPr>
            </w:pPr>
            <w:r>
              <w:rPr>
                <w:rFonts w:hint="eastAsia" w:ascii="宋体" w:hAnsi="宋体" w:cs="宋体"/>
                <w:color w:val="auto"/>
                <w:kern w:val="0"/>
                <w:szCs w:val="21"/>
              </w:rPr>
              <w:t>万</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40D25AC8">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59D5A2D0">
            <w:pPr>
              <w:widowControl/>
              <w:jc w:val="center"/>
              <w:textAlignment w:val="center"/>
              <w:rPr>
                <w:color w:val="auto"/>
                <w:szCs w:val="21"/>
              </w:rPr>
            </w:pPr>
            <w:r>
              <w:rPr>
                <w:color w:val="auto"/>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72F24874">
            <w:pPr>
              <w:jc w:val="center"/>
              <w:rPr>
                <w:rFonts w:ascii="宋体" w:hAnsi="宋体" w:cs="宋体"/>
                <w:color w:val="auto"/>
                <w:szCs w:val="21"/>
              </w:rPr>
            </w:pPr>
          </w:p>
        </w:tc>
      </w:tr>
      <w:tr w14:paraId="20335F97">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32387686">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38E1CF7F">
            <w:pPr>
              <w:jc w:val="center"/>
              <w:rPr>
                <w:rFonts w:ascii="宋体" w:hAnsi="宋体" w:cs="宋体"/>
                <w:color w:val="auto"/>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0148FBD4">
            <w:pPr>
              <w:jc w:val="center"/>
              <w:rPr>
                <w:rFonts w:ascii="宋体" w:hAnsi="宋体" w:cs="宋体"/>
                <w:color w:val="auto"/>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269B4C8E">
            <w:pPr>
              <w:widowControl/>
              <w:jc w:val="center"/>
              <w:textAlignment w:val="center"/>
              <w:rPr>
                <w:rFonts w:ascii="宋体" w:hAnsi="宋体" w:cs="宋体"/>
                <w:color w:val="auto"/>
                <w:szCs w:val="21"/>
              </w:rPr>
            </w:pPr>
            <w:r>
              <w:rPr>
                <w:rFonts w:hint="eastAsia" w:ascii="宋体" w:hAnsi="宋体" w:cs="宋体"/>
                <w:color w:val="auto"/>
                <w:kern w:val="0"/>
                <w:szCs w:val="21"/>
              </w:rPr>
              <w:t>专用设备采购费用</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403F78C0">
            <w:pPr>
              <w:widowControl/>
              <w:jc w:val="center"/>
              <w:textAlignment w:val="center"/>
              <w:rPr>
                <w:rFonts w:ascii="宋体" w:hAnsi="宋体" w:cs="宋体"/>
                <w:color w:val="auto"/>
                <w:szCs w:val="21"/>
              </w:rPr>
            </w:pPr>
            <w:r>
              <w:rPr>
                <w:rFonts w:hint="eastAsia" w:ascii="宋体" w:hAnsi="宋体" w:cs="宋体"/>
                <w:color w:val="auto"/>
                <w:kern w:val="0"/>
                <w:szCs w:val="21"/>
              </w:rPr>
              <w:t>反向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60B0C162">
            <w:pPr>
              <w:widowControl/>
              <w:jc w:val="center"/>
              <w:textAlignment w:val="center"/>
              <w:rPr>
                <w:rFonts w:ascii="宋体" w:hAnsi="宋体" w:cs="宋体"/>
                <w:color w:val="auto"/>
                <w:szCs w:val="21"/>
              </w:rPr>
            </w:pPr>
            <w:r>
              <w:rPr>
                <w:rFonts w:hint="eastAsia" w:ascii="宋体" w:hAnsi="宋体" w:cs="宋体"/>
                <w:color w:val="auto"/>
                <w:kern w:val="0"/>
                <w:szCs w:val="21"/>
              </w:rPr>
              <w:t>小于等于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5256CA08">
            <w:pPr>
              <w:widowControl/>
              <w:jc w:val="center"/>
              <w:textAlignment w:val="center"/>
              <w:rPr>
                <w:rFonts w:ascii="宋体" w:hAnsi="宋体" w:cs="宋体"/>
                <w:color w:val="auto"/>
                <w:szCs w:val="21"/>
              </w:rPr>
            </w:pPr>
            <w:r>
              <w:rPr>
                <w:color w:val="auto"/>
                <w:kern w:val="0"/>
                <w:szCs w:val="21"/>
              </w:rPr>
              <w:t>157</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5E84C1D4">
            <w:pPr>
              <w:widowControl/>
              <w:jc w:val="center"/>
              <w:textAlignment w:val="center"/>
              <w:rPr>
                <w:rFonts w:ascii="宋体" w:hAnsi="宋体" w:cs="宋体"/>
                <w:color w:val="auto"/>
                <w:szCs w:val="21"/>
              </w:rPr>
            </w:pPr>
            <w:r>
              <w:rPr>
                <w:color w:val="auto"/>
                <w:kern w:val="0"/>
                <w:szCs w:val="21"/>
              </w:rPr>
              <w:t>186</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2C54BDA1">
            <w:pPr>
              <w:widowControl/>
              <w:jc w:val="center"/>
              <w:textAlignment w:val="center"/>
              <w:rPr>
                <w:rFonts w:ascii="宋体" w:hAnsi="宋体" w:cs="宋体"/>
                <w:color w:val="auto"/>
                <w:szCs w:val="21"/>
              </w:rPr>
            </w:pPr>
            <w:r>
              <w:rPr>
                <w:rFonts w:hint="eastAsia" w:ascii="宋体" w:hAnsi="宋体" w:cs="宋体"/>
                <w:color w:val="auto"/>
                <w:kern w:val="0"/>
                <w:szCs w:val="21"/>
              </w:rPr>
              <w:t>万元</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23AA935E">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1A6A3903">
            <w:pPr>
              <w:widowControl/>
              <w:jc w:val="center"/>
              <w:textAlignment w:val="center"/>
              <w:rPr>
                <w:color w:val="auto"/>
                <w:szCs w:val="21"/>
              </w:rPr>
            </w:pPr>
            <w:r>
              <w:rPr>
                <w:color w:val="auto"/>
                <w:kern w:val="0"/>
                <w:szCs w:val="21"/>
              </w:rPr>
              <w:t>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3475DF38">
            <w:pPr>
              <w:widowControl/>
              <w:jc w:val="center"/>
              <w:textAlignment w:val="center"/>
              <w:rPr>
                <w:rFonts w:ascii="宋体" w:hAnsi="宋体" w:cs="宋体"/>
                <w:color w:val="auto"/>
                <w:szCs w:val="21"/>
              </w:rPr>
            </w:pPr>
          </w:p>
        </w:tc>
      </w:tr>
      <w:tr w14:paraId="6F2D2F62">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3ACBD684">
            <w:pPr>
              <w:jc w:val="center"/>
              <w:rPr>
                <w:rFonts w:ascii="宋体" w:hAnsi="宋体" w:cs="宋体"/>
                <w:color w:val="auto"/>
                <w:szCs w:val="21"/>
              </w:rPr>
            </w:pPr>
          </w:p>
        </w:tc>
        <w:tc>
          <w:tcPr>
            <w:tcW w:w="439" w:type="dxa"/>
            <w:vMerge w:val="restart"/>
            <w:tcBorders>
              <w:top w:val="single" w:color="000000" w:sz="4" w:space="0"/>
              <w:left w:val="single" w:color="000000" w:sz="4" w:space="0"/>
              <w:bottom w:val="nil"/>
              <w:right w:val="single" w:color="000000" w:sz="4" w:space="0"/>
            </w:tcBorders>
            <w:shd w:val="clear" w:color="auto" w:fill="auto"/>
            <w:vAlign w:val="center"/>
          </w:tcPr>
          <w:p w14:paraId="481344EB">
            <w:pPr>
              <w:widowControl/>
              <w:jc w:val="center"/>
              <w:textAlignment w:val="center"/>
              <w:rPr>
                <w:rFonts w:ascii="宋体" w:hAnsi="宋体" w:cs="宋体"/>
                <w:color w:val="auto"/>
                <w:szCs w:val="21"/>
              </w:rPr>
            </w:pPr>
            <w:r>
              <w:rPr>
                <w:rFonts w:hint="eastAsia" w:ascii="宋体" w:hAnsi="宋体" w:cs="宋体"/>
                <w:color w:val="auto"/>
                <w:kern w:val="0"/>
                <w:szCs w:val="21"/>
              </w:rPr>
              <w:t>效益指标</w:t>
            </w:r>
          </w:p>
        </w:tc>
        <w:tc>
          <w:tcPr>
            <w:tcW w:w="689" w:type="dxa"/>
            <w:vMerge w:val="restart"/>
            <w:tcBorders>
              <w:top w:val="single" w:color="000000" w:sz="4" w:space="0"/>
              <w:left w:val="single" w:color="000000" w:sz="4" w:space="0"/>
              <w:bottom w:val="nil"/>
              <w:right w:val="single" w:color="000000" w:sz="4" w:space="0"/>
            </w:tcBorders>
            <w:shd w:val="clear" w:color="auto" w:fill="auto"/>
            <w:vAlign w:val="center"/>
          </w:tcPr>
          <w:p w14:paraId="7004F9CA">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社会</w:t>
            </w:r>
          </w:p>
          <w:p w14:paraId="4562AF26">
            <w:pPr>
              <w:widowControl/>
              <w:jc w:val="center"/>
              <w:textAlignment w:val="center"/>
              <w:rPr>
                <w:rFonts w:ascii="宋体" w:hAnsi="宋体" w:cs="宋体"/>
                <w:color w:val="auto"/>
                <w:szCs w:val="21"/>
              </w:rPr>
            </w:pPr>
            <w:r>
              <w:rPr>
                <w:rFonts w:hint="eastAsia" w:ascii="宋体" w:hAnsi="宋体" w:cs="宋体"/>
                <w:color w:val="auto"/>
                <w:kern w:val="0"/>
                <w:szCs w:val="21"/>
              </w:rPr>
              <w:t>效益</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28FD0437">
            <w:pPr>
              <w:widowControl/>
              <w:jc w:val="center"/>
              <w:textAlignment w:val="center"/>
              <w:rPr>
                <w:rFonts w:ascii="宋体" w:hAnsi="宋体" w:cs="宋体"/>
                <w:color w:val="auto"/>
                <w:szCs w:val="21"/>
              </w:rPr>
            </w:pPr>
            <w:r>
              <w:rPr>
                <w:rFonts w:hint="eastAsia" w:ascii="宋体" w:hAnsi="宋体" w:cs="宋体"/>
                <w:color w:val="auto"/>
                <w:kern w:val="0"/>
                <w:szCs w:val="21"/>
              </w:rPr>
              <w:t>提升原有设备技术水平</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50400D43">
            <w:pPr>
              <w:widowControl/>
              <w:jc w:val="center"/>
              <w:textAlignment w:val="center"/>
              <w:rPr>
                <w:rFonts w:ascii="宋体" w:hAnsi="宋体" w:cs="宋体"/>
                <w:color w:val="auto"/>
                <w:szCs w:val="21"/>
              </w:rPr>
            </w:pPr>
            <w:r>
              <w:rPr>
                <w:rFonts w:hint="eastAsia" w:ascii="宋体" w:hAnsi="宋体" w:cs="宋体"/>
                <w:color w:val="auto"/>
                <w:kern w:val="0"/>
                <w:szCs w:val="21"/>
              </w:rPr>
              <w:t>定性</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789A5F1E">
            <w:pPr>
              <w:jc w:val="center"/>
              <w:rPr>
                <w:rFonts w:ascii="宋体" w:hAnsi="宋体" w:cs="宋体"/>
                <w:color w:val="auto"/>
                <w:szCs w:val="21"/>
              </w:rPr>
            </w:pPr>
          </w:p>
        </w:tc>
        <w:tc>
          <w:tcPr>
            <w:tcW w:w="719" w:type="dxa"/>
            <w:tcBorders>
              <w:top w:val="single" w:color="000000" w:sz="4" w:space="0"/>
              <w:left w:val="single" w:color="000000" w:sz="4" w:space="0"/>
              <w:bottom w:val="nil"/>
              <w:right w:val="single" w:color="000000" w:sz="4" w:space="0"/>
            </w:tcBorders>
            <w:shd w:val="clear" w:color="auto" w:fill="auto"/>
            <w:vAlign w:val="center"/>
          </w:tcPr>
          <w:p w14:paraId="3E861565">
            <w:pPr>
              <w:widowControl/>
              <w:jc w:val="center"/>
              <w:textAlignment w:val="center"/>
              <w:rPr>
                <w:rFonts w:ascii="宋体" w:hAnsi="宋体" w:cs="宋体"/>
                <w:color w:val="auto"/>
                <w:szCs w:val="21"/>
              </w:rPr>
            </w:pPr>
            <w:r>
              <w:rPr>
                <w:rFonts w:hint="eastAsia" w:ascii="宋体" w:hAnsi="宋体" w:cs="宋体"/>
                <w:color w:val="auto"/>
                <w:kern w:val="0"/>
                <w:szCs w:val="21"/>
              </w:rPr>
              <w:t>有效提升</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077CE5F4">
            <w:pPr>
              <w:widowControl/>
              <w:jc w:val="center"/>
              <w:textAlignment w:val="center"/>
              <w:rPr>
                <w:rFonts w:ascii="宋体" w:hAnsi="宋体" w:cs="宋体"/>
                <w:color w:val="auto"/>
                <w:szCs w:val="21"/>
              </w:rPr>
            </w:pPr>
            <w:r>
              <w:rPr>
                <w:rFonts w:hint="eastAsia" w:ascii="宋体" w:hAnsi="宋体" w:cs="宋体"/>
                <w:color w:val="auto"/>
                <w:kern w:val="0"/>
                <w:szCs w:val="21"/>
              </w:rPr>
              <w:t>有效提升</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5FBA58E8">
            <w:pPr>
              <w:jc w:val="center"/>
              <w:rPr>
                <w:rFonts w:ascii="宋体" w:hAnsi="宋体" w:cs="宋体"/>
                <w:color w:val="auto"/>
                <w:szCs w:val="21"/>
              </w:rPr>
            </w:pPr>
          </w:p>
        </w:tc>
        <w:tc>
          <w:tcPr>
            <w:tcW w:w="656" w:type="dxa"/>
            <w:tcBorders>
              <w:top w:val="single" w:color="000000" w:sz="4" w:space="0"/>
              <w:left w:val="single" w:color="000000" w:sz="4" w:space="0"/>
              <w:bottom w:val="nil"/>
              <w:right w:val="single" w:color="000000" w:sz="4" w:space="0"/>
            </w:tcBorders>
            <w:shd w:val="clear" w:color="auto" w:fill="auto"/>
            <w:vAlign w:val="center"/>
          </w:tcPr>
          <w:p w14:paraId="2996087D">
            <w:pPr>
              <w:widowControl/>
              <w:jc w:val="center"/>
              <w:textAlignment w:val="center"/>
              <w:rPr>
                <w:rFonts w:ascii="宋体" w:hAnsi="宋体" w:cs="宋体"/>
                <w:color w:val="auto"/>
                <w:szCs w:val="21"/>
              </w:rPr>
            </w:pPr>
            <w:r>
              <w:rPr>
                <w:color w:val="auto"/>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7F4FF4AD">
            <w:pPr>
              <w:widowControl/>
              <w:jc w:val="center"/>
              <w:textAlignment w:val="center"/>
              <w:rPr>
                <w:rFonts w:ascii="宋体" w:hAnsi="宋体" w:cs="宋体"/>
                <w:color w:val="auto"/>
                <w:szCs w:val="21"/>
              </w:rPr>
            </w:pPr>
            <w:r>
              <w:rPr>
                <w:color w:val="auto"/>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11E416FF">
            <w:pPr>
              <w:jc w:val="center"/>
              <w:rPr>
                <w:rFonts w:ascii="宋体" w:hAnsi="宋体" w:cs="宋体"/>
                <w:color w:val="auto"/>
                <w:szCs w:val="21"/>
              </w:rPr>
            </w:pPr>
          </w:p>
        </w:tc>
      </w:tr>
      <w:tr w14:paraId="155A24F7">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68A8297E">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4D1CD7EA">
            <w:pPr>
              <w:jc w:val="center"/>
              <w:rPr>
                <w:rFonts w:ascii="宋体" w:hAnsi="宋体" w:cs="宋体"/>
                <w:color w:val="auto"/>
                <w:szCs w:val="21"/>
              </w:rPr>
            </w:pPr>
          </w:p>
        </w:tc>
        <w:tc>
          <w:tcPr>
            <w:tcW w:w="689" w:type="dxa"/>
            <w:vMerge w:val="continue"/>
            <w:tcBorders>
              <w:top w:val="single" w:color="000000" w:sz="4" w:space="0"/>
              <w:left w:val="single" w:color="000000" w:sz="4" w:space="0"/>
              <w:bottom w:val="nil"/>
              <w:right w:val="single" w:color="000000" w:sz="4" w:space="0"/>
            </w:tcBorders>
            <w:shd w:val="clear" w:color="auto" w:fill="auto"/>
            <w:vAlign w:val="center"/>
          </w:tcPr>
          <w:p w14:paraId="6E2C2765">
            <w:pPr>
              <w:jc w:val="center"/>
              <w:rPr>
                <w:rFonts w:ascii="宋体" w:hAnsi="宋体" w:cs="宋体"/>
                <w:color w:val="auto"/>
                <w:szCs w:val="21"/>
              </w:rPr>
            </w:pP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6EC550BB">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设备</w:t>
            </w:r>
          </w:p>
          <w:p w14:paraId="41A47797">
            <w:pPr>
              <w:widowControl/>
              <w:jc w:val="center"/>
              <w:textAlignment w:val="center"/>
              <w:rPr>
                <w:rFonts w:ascii="宋体" w:hAnsi="宋体" w:cs="宋体"/>
                <w:color w:val="auto"/>
                <w:szCs w:val="21"/>
              </w:rPr>
            </w:pPr>
            <w:r>
              <w:rPr>
                <w:rFonts w:hint="eastAsia" w:ascii="宋体" w:hAnsi="宋体" w:cs="宋体"/>
                <w:color w:val="auto"/>
                <w:kern w:val="0"/>
                <w:szCs w:val="21"/>
              </w:rPr>
              <w:t>利用率</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0AD5F2C7">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14A630D4">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7F8225B3">
            <w:pPr>
              <w:widowControl/>
              <w:jc w:val="center"/>
              <w:textAlignment w:val="center"/>
              <w:rPr>
                <w:rFonts w:ascii="宋体" w:hAnsi="宋体" w:cs="宋体"/>
                <w:color w:val="auto"/>
                <w:szCs w:val="21"/>
              </w:rPr>
            </w:pPr>
            <w:r>
              <w:rPr>
                <w:color w:val="auto"/>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107EFF39">
            <w:pPr>
              <w:widowControl/>
              <w:jc w:val="center"/>
              <w:textAlignment w:val="center"/>
              <w:rPr>
                <w:rFonts w:ascii="宋体" w:hAnsi="宋体" w:cs="宋体"/>
                <w:color w:val="auto"/>
                <w:szCs w:val="21"/>
              </w:rPr>
            </w:pPr>
            <w:r>
              <w:rPr>
                <w:color w:val="auto"/>
                <w:kern w:val="0"/>
                <w:szCs w:val="21"/>
              </w:rPr>
              <w:t>90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474C2E81">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3E7BB7CD">
            <w:pPr>
              <w:widowControl/>
              <w:jc w:val="center"/>
              <w:textAlignment w:val="center"/>
              <w:rPr>
                <w:color w:val="auto"/>
                <w:szCs w:val="21"/>
              </w:rPr>
            </w:pPr>
            <w:r>
              <w:rPr>
                <w:color w:val="auto"/>
                <w:kern w:val="0"/>
                <w:szCs w:val="21"/>
              </w:rPr>
              <w:t>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352CE6D1">
            <w:pPr>
              <w:widowControl/>
              <w:jc w:val="center"/>
              <w:textAlignment w:val="center"/>
              <w:rPr>
                <w:color w:val="auto"/>
                <w:szCs w:val="21"/>
              </w:rPr>
            </w:pPr>
            <w:r>
              <w:rPr>
                <w:color w:val="auto"/>
                <w:kern w:val="0"/>
                <w:szCs w:val="21"/>
              </w:rPr>
              <w:t>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264D724E">
            <w:pPr>
              <w:jc w:val="center"/>
              <w:rPr>
                <w:rFonts w:ascii="宋体" w:hAnsi="宋体" w:cs="宋体"/>
                <w:color w:val="auto"/>
                <w:szCs w:val="21"/>
              </w:rPr>
            </w:pPr>
          </w:p>
        </w:tc>
      </w:tr>
      <w:tr w14:paraId="3EE5AED8">
        <w:tblPrEx>
          <w:tblCellMar>
            <w:top w:w="0" w:type="dxa"/>
            <w:left w:w="28" w:type="dxa"/>
            <w:bottom w:w="0" w:type="dxa"/>
            <w:right w:w="28" w:type="dxa"/>
          </w:tblCellMar>
        </w:tblPrEx>
        <w:trPr>
          <w:trHeight w:val="840"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4204FC22">
            <w:pPr>
              <w:jc w:val="center"/>
              <w:rPr>
                <w:rFonts w:ascii="宋体" w:hAnsi="宋体" w:cs="宋体"/>
                <w:color w:val="auto"/>
                <w:szCs w:val="21"/>
              </w:rPr>
            </w:pPr>
          </w:p>
        </w:tc>
        <w:tc>
          <w:tcPr>
            <w:tcW w:w="439" w:type="dxa"/>
            <w:vMerge w:val="continue"/>
            <w:tcBorders>
              <w:top w:val="single" w:color="000000" w:sz="4" w:space="0"/>
              <w:left w:val="single" w:color="000000" w:sz="4" w:space="0"/>
              <w:bottom w:val="nil"/>
              <w:right w:val="single" w:color="000000" w:sz="4" w:space="0"/>
            </w:tcBorders>
            <w:shd w:val="clear" w:color="auto" w:fill="auto"/>
            <w:vAlign w:val="center"/>
          </w:tcPr>
          <w:p w14:paraId="1AF7FC87">
            <w:pPr>
              <w:jc w:val="center"/>
              <w:rPr>
                <w:rFonts w:ascii="宋体" w:hAnsi="宋体" w:cs="宋体"/>
                <w:color w:val="auto"/>
                <w:szCs w:val="21"/>
              </w:rPr>
            </w:pPr>
          </w:p>
        </w:tc>
        <w:tc>
          <w:tcPr>
            <w:tcW w:w="689" w:type="dxa"/>
            <w:tcBorders>
              <w:top w:val="single" w:color="000000" w:sz="4" w:space="0"/>
              <w:left w:val="single" w:color="000000" w:sz="4" w:space="0"/>
              <w:bottom w:val="nil"/>
              <w:right w:val="single" w:color="000000" w:sz="4" w:space="0"/>
            </w:tcBorders>
            <w:shd w:val="clear" w:color="auto" w:fill="auto"/>
            <w:vAlign w:val="center"/>
          </w:tcPr>
          <w:p w14:paraId="27506024">
            <w:pPr>
              <w:widowControl/>
              <w:jc w:val="center"/>
              <w:textAlignment w:val="center"/>
              <w:rPr>
                <w:rFonts w:ascii="宋体" w:hAnsi="宋体" w:cs="宋体"/>
                <w:color w:val="auto"/>
                <w:szCs w:val="21"/>
              </w:rPr>
            </w:pPr>
            <w:r>
              <w:rPr>
                <w:rFonts w:hint="eastAsia" w:ascii="宋体" w:hAnsi="宋体" w:cs="宋体"/>
                <w:color w:val="auto"/>
                <w:kern w:val="0"/>
                <w:szCs w:val="21"/>
              </w:rPr>
              <w:t>可持续影响</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12247AC3">
            <w:pPr>
              <w:widowControl/>
              <w:jc w:val="center"/>
              <w:textAlignment w:val="center"/>
              <w:rPr>
                <w:rFonts w:ascii="宋体" w:hAnsi="宋体" w:cs="宋体"/>
                <w:color w:val="auto"/>
                <w:szCs w:val="21"/>
              </w:rPr>
            </w:pPr>
            <w:r>
              <w:rPr>
                <w:rFonts w:hint="eastAsia" w:ascii="宋体" w:hAnsi="宋体" w:cs="宋体"/>
                <w:color w:val="auto"/>
                <w:kern w:val="0"/>
                <w:szCs w:val="21"/>
              </w:rPr>
              <w:t>设备使用年限</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30910880">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3B4677BD">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1B498BAE">
            <w:pPr>
              <w:widowControl/>
              <w:jc w:val="center"/>
              <w:textAlignment w:val="center"/>
              <w:rPr>
                <w:color w:val="auto"/>
                <w:szCs w:val="21"/>
              </w:rPr>
            </w:pPr>
            <w:r>
              <w:rPr>
                <w:color w:val="auto"/>
                <w:kern w:val="0"/>
                <w:szCs w:val="21"/>
              </w:rPr>
              <w:t>5</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3FCB5CF2">
            <w:pPr>
              <w:widowControl/>
              <w:jc w:val="center"/>
              <w:textAlignment w:val="center"/>
              <w:rPr>
                <w:color w:val="auto"/>
                <w:szCs w:val="21"/>
              </w:rPr>
            </w:pPr>
            <w:r>
              <w:rPr>
                <w:color w:val="auto"/>
                <w:kern w:val="0"/>
                <w:szCs w:val="21"/>
              </w:rPr>
              <w:t>5</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320C3520">
            <w:pPr>
              <w:widowControl/>
              <w:jc w:val="center"/>
              <w:textAlignment w:val="center"/>
              <w:rPr>
                <w:rFonts w:ascii="宋体" w:hAnsi="宋体" w:cs="宋体"/>
                <w:color w:val="auto"/>
                <w:szCs w:val="21"/>
              </w:rPr>
            </w:pPr>
            <w:r>
              <w:rPr>
                <w:rFonts w:hint="eastAsia" w:ascii="宋体" w:hAnsi="宋体" w:cs="宋体"/>
                <w:color w:val="auto"/>
                <w:kern w:val="0"/>
                <w:szCs w:val="21"/>
              </w:rPr>
              <w:t>年</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7B914EF4">
            <w:pPr>
              <w:widowControl/>
              <w:jc w:val="center"/>
              <w:textAlignment w:val="center"/>
              <w:rPr>
                <w:rFonts w:ascii="宋体" w:hAnsi="宋体" w:cs="宋体"/>
                <w:color w:val="auto"/>
                <w:szCs w:val="21"/>
              </w:rPr>
            </w:pPr>
            <w:r>
              <w:rPr>
                <w:color w:val="auto"/>
                <w:kern w:val="0"/>
                <w:szCs w:val="21"/>
              </w:rPr>
              <w:t>15</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457AAB6E">
            <w:pPr>
              <w:widowControl/>
              <w:jc w:val="center"/>
              <w:textAlignment w:val="center"/>
              <w:rPr>
                <w:rFonts w:ascii="宋体" w:hAnsi="宋体" w:cs="宋体"/>
                <w:color w:val="auto"/>
                <w:szCs w:val="21"/>
              </w:rPr>
            </w:pPr>
            <w:r>
              <w:rPr>
                <w:color w:val="auto"/>
                <w:kern w:val="0"/>
                <w:szCs w:val="21"/>
              </w:rPr>
              <w:t>15</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7DD1C6C5">
            <w:pPr>
              <w:jc w:val="center"/>
              <w:rPr>
                <w:rFonts w:ascii="宋体" w:hAnsi="宋体" w:cs="宋体"/>
                <w:color w:val="auto"/>
                <w:szCs w:val="21"/>
              </w:rPr>
            </w:pPr>
          </w:p>
        </w:tc>
      </w:tr>
      <w:tr w14:paraId="08AC146B">
        <w:tblPrEx>
          <w:tblCellMar>
            <w:top w:w="0" w:type="dxa"/>
            <w:left w:w="28" w:type="dxa"/>
            <w:bottom w:w="0" w:type="dxa"/>
            <w:right w:w="28" w:type="dxa"/>
          </w:tblCellMar>
        </w:tblPrEx>
        <w:trPr>
          <w:trHeight w:val="1876" w:hRule="atLeast"/>
          <w:jc w:val="center"/>
        </w:trPr>
        <w:tc>
          <w:tcPr>
            <w:tcW w:w="428" w:type="dxa"/>
            <w:vMerge w:val="continue"/>
            <w:tcBorders>
              <w:top w:val="single" w:color="000000" w:sz="4" w:space="0"/>
              <w:left w:val="single" w:color="000000" w:sz="4" w:space="0"/>
              <w:bottom w:val="nil"/>
              <w:right w:val="single" w:color="000000" w:sz="4" w:space="0"/>
            </w:tcBorders>
            <w:shd w:val="clear" w:color="auto" w:fill="auto"/>
            <w:vAlign w:val="center"/>
          </w:tcPr>
          <w:p w14:paraId="765A4118">
            <w:pPr>
              <w:jc w:val="center"/>
              <w:rPr>
                <w:rFonts w:ascii="宋体" w:hAnsi="宋体" w:cs="宋体"/>
                <w:color w:val="auto"/>
                <w:szCs w:val="21"/>
              </w:rPr>
            </w:pPr>
          </w:p>
        </w:tc>
        <w:tc>
          <w:tcPr>
            <w:tcW w:w="439" w:type="dxa"/>
            <w:tcBorders>
              <w:top w:val="single" w:color="000000" w:sz="4" w:space="0"/>
              <w:left w:val="single" w:color="000000" w:sz="4" w:space="0"/>
              <w:bottom w:val="nil"/>
              <w:right w:val="single" w:color="000000" w:sz="4" w:space="0"/>
            </w:tcBorders>
            <w:shd w:val="clear" w:color="auto" w:fill="auto"/>
            <w:vAlign w:val="center"/>
          </w:tcPr>
          <w:p w14:paraId="6A002A5E">
            <w:pPr>
              <w:widowControl/>
              <w:jc w:val="center"/>
              <w:textAlignment w:val="center"/>
              <w:rPr>
                <w:rFonts w:ascii="宋体" w:hAnsi="宋体" w:cs="宋体"/>
                <w:color w:val="auto"/>
                <w:szCs w:val="21"/>
              </w:rPr>
            </w:pPr>
            <w:r>
              <w:rPr>
                <w:rFonts w:hint="eastAsia" w:ascii="宋体" w:hAnsi="宋体" w:cs="宋体"/>
                <w:color w:val="auto"/>
                <w:kern w:val="0"/>
                <w:szCs w:val="21"/>
              </w:rPr>
              <w:t>满意度指标</w:t>
            </w:r>
          </w:p>
        </w:tc>
        <w:tc>
          <w:tcPr>
            <w:tcW w:w="689" w:type="dxa"/>
            <w:tcBorders>
              <w:top w:val="single" w:color="000000" w:sz="4" w:space="0"/>
              <w:left w:val="single" w:color="000000" w:sz="4" w:space="0"/>
              <w:bottom w:val="nil"/>
              <w:right w:val="single" w:color="000000" w:sz="4" w:space="0"/>
            </w:tcBorders>
            <w:shd w:val="clear" w:color="auto" w:fill="auto"/>
            <w:vAlign w:val="center"/>
          </w:tcPr>
          <w:p w14:paraId="1662CEB2">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服务</w:t>
            </w:r>
          </w:p>
          <w:p w14:paraId="0BABF480">
            <w:pPr>
              <w:widowControl/>
              <w:jc w:val="center"/>
              <w:textAlignment w:val="center"/>
              <w:rPr>
                <w:rFonts w:hint="eastAsia" w:ascii="宋体" w:hAnsi="宋体" w:cs="宋体"/>
                <w:color w:val="auto"/>
                <w:kern w:val="0"/>
                <w:szCs w:val="21"/>
              </w:rPr>
            </w:pPr>
            <w:r>
              <w:rPr>
                <w:rFonts w:hint="eastAsia" w:ascii="宋体" w:hAnsi="宋体" w:cs="宋体"/>
                <w:color w:val="auto"/>
                <w:kern w:val="0"/>
                <w:szCs w:val="21"/>
              </w:rPr>
              <w:t>对象</w:t>
            </w:r>
          </w:p>
          <w:p w14:paraId="64101601">
            <w:pPr>
              <w:widowControl/>
              <w:jc w:val="center"/>
              <w:textAlignment w:val="center"/>
              <w:rPr>
                <w:rFonts w:ascii="宋体" w:hAnsi="宋体" w:cs="宋体"/>
                <w:color w:val="auto"/>
                <w:szCs w:val="21"/>
              </w:rPr>
            </w:pPr>
            <w:r>
              <w:rPr>
                <w:rFonts w:hint="eastAsia" w:ascii="宋体" w:hAnsi="宋体" w:cs="宋体"/>
                <w:color w:val="auto"/>
                <w:kern w:val="0"/>
                <w:szCs w:val="21"/>
              </w:rPr>
              <w:t>满意度</w:t>
            </w:r>
          </w:p>
        </w:tc>
        <w:tc>
          <w:tcPr>
            <w:tcW w:w="1002" w:type="dxa"/>
            <w:tcBorders>
              <w:top w:val="single" w:color="000000" w:sz="4" w:space="0"/>
              <w:left w:val="single" w:color="000000" w:sz="4" w:space="0"/>
              <w:bottom w:val="nil"/>
              <w:right w:val="single" w:color="000000" w:sz="4" w:space="0"/>
            </w:tcBorders>
            <w:shd w:val="clear" w:color="auto" w:fill="auto"/>
            <w:vAlign w:val="center"/>
          </w:tcPr>
          <w:p w14:paraId="558408F3">
            <w:pPr>
              <w:widowControl/>
              <w:jc w:val="center"/>
              <w:textAlignment w:val="center"/>
              <w:rPr>
                <w:rFonts w:ascii="宋体" w:hAnsi="宋体" w:cs="宋体"/>
                <w:color w:val="auto"/>
                <w:szCs w:val="21"/>
              </w:rPr>
            </w:pPr>
            <w:r>
              <w:rPr>
                <w:rFonts w:hint="eastAsia" w:ascii="宋体" w:hAnsi="宋体" w:cs="宋体"/>
                <w:color w:val="auto"/>
                <w:kern w:val="0"/>
                <w:szCs w:val="21"/>
              </w:rPr>
              <w:t>使用人员满意度</w:t>
            </w:r>
          </w:p>
        </w:tc>
        <w:tc>
          <w:tcPr>
            <w:tcW w:w="683" w:type="dxa"/>
            <w:tcBorders>
              <w:top w:val="single" w:color="000000" w:sz="4" w:space="0"/>
              <w:left w:val="single" w:color="000000" w:sz="4" w:space="0"/>
              <w:bottom w:val="nil"/>
              <w:right w:val="single" w:color="000000" w:sz="4" w:space="0"/>
            </w:tcBorders>
            <w:shd w:val="clear" w:color="auto" w:fill="auto"/>
            <w:vAlign w:val="center"/>
          </w:tcPr>
          <w:p w14:paraId="2AFE7C78">
            <w:pPr>
              <w:widowControl/>
              <w:jc w:val="center"/>
              <w:textAlignment w:val="center"/>
              <w:rPr>
                <w:rFonts w:ascii="宋体" w:hAnsi="宋体" w:cs="宋体"/>
                <w:color w:val="auto"/>
                <w:szCs w:val="21"/>
              </w:rPr>
            </w:pPr>
            <w:r>
              <w:rPr>
                <w:rFonts w:hint="eastAsia" w:ascii="宋体" w:hAnsi="宋体" w:cs="宋体"/>
                <w:color w:val="auto"/>
                <w:kern w:val="0"/>
                <w:szCs w:val="21"/>
              </w:rPr>
              <w:t>正向</w:t>
            </w:r>
          </w:p>
        </w:tc>
        <w:tc>
          <w:tcPr>
            <w:tcW w:w="1022" w:type="dxa"/>
            <w:tcBorders>
              <w:top w:val="single" w:color="000000" w:sz="4" w:space="0"/>
              <w:left w:val="single" w:color="000000" w:sz="4" w:space="0"/>
              <w:bottom w:val="nil"/>
              <w:right w:val="single" w:color="000000" w:sz="4" w:space="0"/>
            </w:tcBorders>
            <w:shd w:val="clear" w:color="auto" w:fill="auto"/>
            <w:vAlign w:val="center"/>
          </w:tcPr>
          <w:p w14:paraId="52DDEAAC">
            <w:pPr>
              <w:widowControl/>
              <w:jc w:val="center"/>
              <w:textAlignment w:val="center"/>
              <w:rPr>
                <w:rFonts w:ascii="宋体" w:hAnsi="宋体" w:cs="宋体"/>
                <w:color w:val="auto"/>
                <w:szCs w:val="21"/>
              </w:rPr>
            </w:pPr>
            <w:r>
              <w:rPr>
                <w:rFonts w:hint="eastAsia" w:ascii="宋体" w:hAnsi="宋体" w:cs="宋体"/>
                <w:color w:val="auto"/>
                <w:kern w:val="0"/>
                <w:szCs w:val="21"/>
              </w:rPr>
              <w:t>大于等于</w:t>
            </w:r>
          </w:p>
        </w:tc>
        <w:tc>
          <w:tcPr>
            <w:tcW w:w="719" w:type="dxa"/>
            <w:tcBorders>
              <w:top w:val="single" w:color="000000" w:sz="4" w:space="0"/>
              <w:left w:val="single" w:color="000000" w:sz="4" w:space="0"/>
              <w:bottom w:val="nil"/>
              <w:right w:val="single" w:color="000000" w:sz="4" w:space="0"/>
            </w:tcBorders>
            <w:shd w:val="clear" w:color="auto" w:fill="auto"/>
            <w:vAlign w:val="center"/>
          </w:tcPr>
          <w:p w14:paraId="4C2DBDC0">
            <w:pPr>
              <w:widowControl/>
              <w:jc w:val="center"/>
              <w:textAlignment w:val="center"/>
              <w:rPr>
                <w:rFonts w:ascii="宋体" w:hAnsi="宋体" w:cs="宋体"/>
                <w:color w:val="auto"/>
                <w:szCs w:val="21"/>
              </w:rPr>
            </w:pPr>
            <w:r>
              <w:rPr>
                <w:color w:val="auto"/>
                <w:kern w:val="0"/>
                <w:szCs w:val="21"/>
              </w:rPr>
              <w:t>90</w:t>
            </w:r>
          </w:p>
        </w:tc>
        <w:tc>
          <w:tcPr>
            <w:tcW w:w="1097" w:type="dxa"/>
            <w:tcBorders>
              <w:top w:val="single" w:color="000000" w:sz="4" w:space="0"/>
              <w:left w:val="single" w:color="000000" w:sz="4" w:space="0"/>
              <w:bottom w:val="nil"/>
              <w:right w:val="single" w:color="000000" w:sz="4" w:space="0"/>
            </w:tcBorders>
            <w:shd w:val="clear" w:color="auto" w:fill="auto"/>
            <w:vAlign w:val="center"/>
          </w:tcPr>
          <w:p w14:paraId="4C315F24">
            <w:pPr>
              <w:widowControl/>
              <w:jc w:val="center"/>
              <w:textAlignment w:val="center"/>
              <w:rPr>
                <w:rFonts w:ascii="宋体" w:hAnsi="宋体" w:cs="宋体"/>
                <w:color w:val="auto"/>
                <w:szCs w:val="21"/>
              </w:rPr>
            </w:pPr>
            <w:r>
              <w:rPr>
                <w:color w:val="auto"/>
                <w:kern w:val="0"/>
                <w:szCs w:val="21"/>
              </w:rPr>
              <w:t>90</w:t>
            </w:r>
          </w:p>
        </w:tc>
        <w:tc>
          <w:tcPr>
            <w:tcW w:w="884" w:type="dxa"/>
            <w:tcBorders>
              <w:top w:val="single" w:color="000000" w:sz="4" w:space="0"/>
              <w:left w:val="single" w:color="000000" w:sz="4" w:space="0"/>
              <w:bottom w:val="nil"/>
              <w:right w:val="single" w:color="000000" w:sz="4" w:space="0"/>
            </w:tcBorders>
            <w:shd w:val="clear" w:color="auto" w:fill="auto"/>
            <w:vAlign w:val="center"/>
          </w:tcPr>
          <w:p w14:paraId="5A03F665">
            <w:pPr>
              <w:widowControl/>
              <w:jc w:val="center"/>
              <w:textAlignment w:val="center"/>
              <w:rPr>
                <w:rFonts w:ascii="宋体" w:hAnsi="宋体" w:cs="宋体"/>
                <w:color w:val="auto"/>
                <w:szCs w:val="21"/>
              </w:rPr>
            </w:pPr>
            <w:r>
              <w:rPr>
                <w:rFonts w:hint="eastAsia" w:ascii="宋体" w:hAnsi="宋体" w:cs="宋体"/>
                <w:color w:val="auto"/>
                <w:kern w:val="0"/>
                <w:szCs w:val="21"/>
              </w:rPr>
              <w:t>%</w:t>
            </w:r>
          </w:p>
        </w:tc>
        <w:tc>
          <w:tcPr>
            <w:tcW w:w="656" w:type="dxa"/>
            <w:tcBorders>
              <w:top w:val="single" w:color="000000" w:sz="4" w:space="0"/>
              <w:left w:val="single" w:color="000000" w:sz="4" w:space="0"/>
              <w:bottom w:val="nil"/>
              <w:right w:val="single" w:color="000000" w:sz="4" w:space="0"/>
            </w:tcBorders>
            <w:shd w:val="clear" w:color="auto" w:fill="auto"/>
            <w:vAlign w:val="center"/>
          </w:tcPr>
          <w:p w14:paraId="6013262E">
            <w:pPr>
              <w:widowControl/>
              <w:jc w:val="center"/>
              <w:textAlignment w:val="center"/>
              <w:rPr>
                <w:rFonts w:ascii="宋体" w:hAnsi="宋体" w:cs="宋体"/>
                <w:color w:val="auto"/>
                <w:szCs w:val="21"/>
              </w:rPr>
            </w:pPr>
            <w:r>
              <w:rPr>
                <w:color w:val="auto"/>
                <w:kern w:val="0"/>
                <w:szCs w:val="21"/>
              </w:rPr>
              <w:t>10</w:t>
            </w:r>
          </w:p>
        </w:tc>
        <w:tc>
          <w:tcPr>
            <w:tcW w:w="856" w:type="dxa"/>
            <w:tcBorders>
              <w:top w:val="single" w:color="000000" w:sz="4" w:space="0"/>
              <w:left w:val="single" w:color="000000" w:sz="4" w:space="0"/>
              <w:bottom w:val="nil"/>
              <w:right w:val="single" w:color="000000" w:sz="4" w:space="0"/>
            </w:tcBorders>
            <w:shd w:val="clear" w:color="auto" w:fill="auto"/>
            <w:vAlign w:val="center"/>
          </w:tcPr>
          <w:p w14:paraId="66F6B755">
            <w:pPr>
              <w:widowControl/>
              <w:jc w:val="center"/>
              <w:textAlignment w:val="center"/>
              <w:rPr>
                <w:rFonts w:ascii="宋体" w:hAnsi="宋体" w:cs="宋体"/>
                <w:color w:val="auto"/>
                <w:szCs w:val="21"/>
              </w:rPr>
            </w:pPr>
            <w:r>
              <w:rPr>
                <w:color w:val="auto"/>
                <w:kern w:val="0"/>
                <w:szCs w:val="21"/>
              </w:rPr>
              <w:t>10</w:t>
            </w:r>
          </w:p>
        </w:tc>
        <w:tc>
          <w:tcPr>
            <w:tcW w:w="1157" w:type="dxa"/>
            <w:tcBorders>
              <w:top w:val="single" w:color="000000" w:sz="4" w:space="0"/>
              <w:left w:val="single" w:color="000000" w:sz="4" w:space="0"/>
              <w:bottom w:val="nil"/>
              <w:right w:val="single" w:color="000000" w:sz="4" w:space="0"/>
            </w:tcBorders>
            <w:shd w:val="clear" w:color="auto" w:fill="auto"/>
            <w:vAlign w:val="center"/>
          </w:tcPr>
          <w:p w14:paraId="501BC66C">
            <w:pPr>
              <w:jc w:val="center"/>
              <w:rPr>
                <w:rFonts w:ascii="宋体" w:hAnsi="宋体" w:cs="宋体"/>
                <w:color w:val="auto"/>
                <w:szCs w:val="21"/>
              </w:rPr>
            </w:pPr>
          </w:p>
        </w:tc>
      </w:tr>
      <w:tr w14:paraId="6CF41105">
        <w:tblPrEx>
          <w:tblCellMar>
            <w:top w:w="0" w:type="dxa"/>
            <w:left w:w="28" w:type="dxa"/>
            <w:bottom w:w="0" w:type="dxa"/>
            <w:right w:w="28" w:type="dxa"/>
          </w:tblCellMar>
        </w:tblPrEx>
        <w:trPr>
          <w:trHeight w:val="840" w:hRule="atLeast"/>
          <w:jc w:val="center"/>
        </w:trPr>
        <w:tc>
          <w:tcPr>
            <w:tcW w:w="696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8D7D6E">
            <w:pPr>
              <w:widowControl/>
              <w:jc w:val="center"/>
              <w:textAlignment w:val="center"/>
              <w:rPr>
                <w:rFonts w:ascii="宋体" w:hAnsi="宋体" w:cs="宋体"/>
                <w:color w:val="auto"/>
                <w:szCs w:val="21"/>
              </w:rPr>
            </w:pPr>
            <w:r>
              <w:rPr>
                <w:rFonts w:hint="eastAsia" w:ascii="宋体" w:hAnsi="宋体" w:cs="宋体"/>
                <w:color w:val="auto"/>
                <w:kern w:val="0"/>
                <w:szCs w:val="21"/>
              </w:rPr>
              <w:t>总分</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8C2E">
            <w:pPr>
              <w:widowControl/>
              <w:jc w:val="center"/>
              <w:textAlignment w:val="center"/>
              <w:rPr>
                <w:rFonts w:ascii="宋体" w:hAnsi="宋体" w:cs="宋体"/>
                <w:color w:val="auto"/>
                <w:szCs w:val="21"/>
              </w:rPr>
            </w:pPr>
            <w:r>
              <w:rPr>
                <w:color w:val="auto"/>
                <w:kern w:val="0"/>
                <w:szCs w:val="21"/>
              </w:rPr>
              <w:t>100</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BD42">
            <w:pPr>
              <w:widowControl/>
              <w:jc w:val="center"/>
              <w:textAlignment w:val="center"/>
              <w:rPr>
                <w:rFonts w:ascii="宋体" w:hAnsi="宋体" w:cs="宋体"/>
                <w:color w:val="auto"/>
                <w:szCs w:val="21"/>
              </w:rPr>
            </w:pPr>
            <w:r>
              <w:rPr>
                <w:color w:val="auto"/>
                <w:kern w:val="0"/>
                <w:szCs w:val="21"/>
              </w:rPr>
              <w:t>94</w:t>
            </w:r>
            <w:r>
              <w:rPr>
                <w:rFonts w:hint="eastAsia" w:ascii="宋体" w:hAnsi="宋体" w:cs="宋体"/>
                <w:color w:val="auto"/>
                <w:kern w:val="0"/>
                <w:szCs w:val="21"/>
              </w:rPr>
              <w:t>.</w:t>
            </w:r>
            <w:r>
              <w:rPr>
                <w:color w:val="auto"/>
                <w:kern w:val="0"/>
                <w:szCs w:val="21"/>
              </w:rPr>
              <w:t>68</w:t>
            </w: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D7A1">
            <w:pPr>
              <w:jc w:val="center"/>
              <w:rPr>
                <w:rFonts w:ascii="宋体" w:hAnsi="宋体" w:cs="宋体"/>
                <w:color w:val="auto"/>
                <w:szCs w:val="21"/>
              </w:rPr>
            </w:pPr>
          </w:p>
        </w:tc>
      </w:tr>
    </w:tbl>
    <w:p w14:paraId="67650978">
      <w:pPr>
        <w:pStyle w:val="23"/>
        <w:widowControl/>
        <w:spacing w:line="600" w:lineRule="exact"/>
        <w:ind w:firstLine="640" w:firstLineChars="200"/>
        <w:rPr>
          <w:rFonts w:hint="eastAsia" w:ascii="楷体_GB2312" w:eastAsia="楷体_GB2312"/>
          <w:color w:val="auto"/>
          <w:kern w:val="0"/>
          <w:sz w:val="24"/>
        </w:rPr>
      </w:pPr>
      <w:r>
        <w:rPr>
          <w:rFonts w:hint="eastAsia" w:ascii="楷体_GB2312" w:hAnsi="楷体" w:eastAsia="楷体_GB2312" w:cs="楷体"/>
          <w:bCs/>
          <w:color w:val="auto"/>
          <w:kern w:val="0"/>
          <w:sz w:val="32"/>
          <w:szCs w:val="32"/>
        </w:rPr>
        <w:t>（三）部门项目绩效评价结果</w:t>
      </w:r>
    </w:p>
    <w:p w14:paraId="045434E0">
      <w:pPr>
        <w:pStyle w:val="23"/>
        <w:widowControl/>
        <w:spacing w:line="600" w:lineRule="exact"/>
        <w:ind w:firstLine="640" w:firstLineChars="200"/>
        <w:rPr>
          <w:rFonts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以办案（业务）经费项目为例，该项目绩效评价综合得分为</w:t>
      </w:r>
      <w:r>
        <w:rPr>
          <w:rFonts w:eastAsia="仿宋_GB2312"/>
          <w:color w:val="auto"/>
          <w:kern w:val="0"/>
          <w:sz w:val="32"/>
          <w:szCs w:val="32"/>
          <w:u w:val="single"/>
        </w:rPr>
        <w:t>92</w:t>
      </w:r>
      <w:r>
        <w:rPr>
          <w:rFonts w:hint="eastAsia" w:ascii="仿宋_GB2312" w:hAnsi="仿宋_GB2312" w:eastAsia="仿宋_GB2312" w:cs="仿宋_GB2312"/>
          <w:color w:val="auto"/>
          <w:kern w:val="0"/>
          <w:sz w:val="32"/>
          <w:szCs w:val="32"/>
          <w:u w:val="single"/>
        </w:rPr>
        <w:t>.</w:t>
      </w:r>
      <w:r>
        <w:rPr>
          <w:rFonts w:eastAsia="仿宋_GB2312"/>
          <w:color w:val="auto"/>
          <w:kern w:val="0"/>
          <w:sz w:val="32"/>
          <w:szCs w:val="32"/>
          <w:u w:val="single"/>
        </w:rPr>
        <w:t>61</w:t>
      </w:r>
      <w:r>
        <w:rPr>
          <w:rFonts w:hint="eastAsia" w:ascii="仿宋_GB2312" w:hAnsi="仿宋_GB2312" w:eastAsia="仿宋_GB2312" w:cs="仿宋_GB2312"/>
          <w:color w:val="auto"/>
          <w:kern w:val="0"/>
          <w:sz w:val="32"/>
          <w:szCs w:val="32"/>
        </w:rPr>
        <w:t>分，绩效评价结果为“优”。部门项目绩效评价得分情况详见单位具体绩效评价结果。</w:t>
      </w:r>
    </w:p>
    <w:p w14:paraId="0882F243">
      <w:pPr>
        <w:pStyle w:val="23"/>
        <w:widowControl/>
        <w:spacing w:line="600" w:lineRule="exact"/>
        <w:ind w:firstLine="640" w:firstLineChars="200"/>
        <w:rPr>
          <w:rFonts w:ascii="楷体_GB2312" w:hAnsi="楷体" w:eastAsia="楷体_GB2312" w:cs="楷体"/>
          <w:bCs/>
          <w:color w:val="auto"/>
          <w:kern w:val="0"/>
          <w:sz w:val="32"/>
          <w:szCs w:val="32"/>
        </w:rPr>
      </w:pPr>
      <w:r>
        <w:rPr>
          <w:rFonts w:ascii="楷体_GB2312" w:hAnsi="楷体" w:eastAsia="楷体_GB2312" w:cs="楷体"/>
          <w:bCs/>
          <w:color w:val="auto"/>
          <w:kern w:val="0"/>
          <w:sz w:val="32"/>
          <w:szCs w:val="32"/>
        </w:rPr>
        <w:t>（四）单位预算绩效管理制度和核心绩效指标标准体系建设情况</w:t>
      </w:r>
    </w:p>
    <w:p w14:paraId="0DF417B0">
      <w:pPr>
        <w:pStyle w:val="2"/>
        <w:spacing w:line="600" w:lineRule="exact"/>
        <w:ind w:firstLine="640"/>
        <w:rPr>
          <w:rFonts w:eastAsia="仿宋_GB2312"/>
          <w:color w:val="auto"/>
          <w:kern w:val="0"/>
          <w:sz w:val="24"/>
        </w:rPr>
      </w:pPr>
      <w:r>
        <w:rPr>
          <w:rFonts w:hint="eastAsia" w:ascii="仿宋_GB2312" w:hAnsi="仿宋_GB2312" w:eastAsia="仿宋_GB2312" w:cs="仿宋_GB2312"/>
          <w:color w:val="auto"/>
          <w:kern w:val="0"/>
          <w:sz w:val="32"/>
          <w:szCs w:val="32"/>
        </w:rPr>
        <w:t>我院已按要求建立单位预算绩效管理制度，并按照制度要求开展绩效管理工作，本年度</w:t>
      </w:r>
      <w:r>
        <w:rPr>
          <w:rFonts w:hint="eastAsia" w:ascii="仿宋_GB2312" w:hAnsi="仿宋_GB2312" w:eastAsia="仿宋_GB2312" w:cs="仿宋_GB2312"/>
          <w:color w:val="auto"/>
          <w:sz w:val="32"/>
          <w:szCs w:val="32"/>
        </w:rPr>
        <w:t>按照《预算绩效管理条例》要求，为压实</w:t>
      </w:r>
      <w:r>
        <w:rPr>
          <w:rFonts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rPr>
        <w:t>预算绩效管理主体责任，提升预算绩效管理工作质效，按照自治区财政统一工作部署，预算绩效核心指标库已建设完成并已印发实施。</w:t>
      </w:r>
    </w:p>
    <w:p w14:paraId="02B083F5">
      <w:pPr>
        <w:pStyle w:val="4"/>
        <w:keepNext w:val="0"/>
        <w:keepLines w:val="0"/>
        <w:widowControl/>
        <w:spacing w:before="0" w:after="0" w:line="600" w:lineRule="exact"/>
        <w:ind w:firstLine="723" w:firstLineChars="200"/>
        <w:rPr>
          <w:rFonts w:ascii="方正小标宋简体" w:hAnsi="方正小标宋简体" w:eastAsia="方正小标宋简体" w:cs="方正小标宋简体"/>
          <w:color w:val="auto"/>
          <w:kern w:val="0"/>
          <w:sz w:val="36"/>
          <w:szCs w:val="36"/>
        </w:rPr>
      </w:pPr>
    </w:p>
    <w:p w14:paraId="64306985">
      <w:pPr>
        <w:pStyle w:val="4"/>
        <w:keepNext w:val="0"/>
        <w:keepLines w:val="0"/>
        <w:widowControl/>
        <w:spacing w:before="0" w:after="0" w:line="600" w:lineRule="exact"/>
        <w:jc w:val="center"/>
        <w:rPr>
          <w:rFonts w:ascii="Times New Roman" w:hAnsi="Times New Roman" w:eastAsia="Times New Roman"/>
          <w:b w:val="0"/>
          <w:color w:val="auto"/>
          <w:kern w:val="0"/>
          <w:sz w:val="36"/>
          <w:szCs w:val="36"/>
        </w:rPr>
      </w:pPr>
      <w:r>
        <w:rPr>
          <w:rFonts w:ascii="方正小标宋简体" w:hAnsi="方正小标宋简体" w:eastAsia="方正小标宋简体" w:cs="方正小标宋简体"/>
          <w:b w:val="0"/>
          <w:color w:val="auto"/>
          <w:kern w:val="0"/>
          <w:sz w:val="36"/>
          <w:szCs w:val="36"/>
        </w:rPr>
        <w:t>第三部分</w:t>
      </w:r>
      <w:r>
        <w:rPr>
          <w:rFonts w:hint="eastAsia" w:ascii="方正小标宋简体" w:hAnsi="方正小标宋简体" w:eastAsia="方正小标宋简体" w:cs="方正小标宋简体"/>
          <w:b w:val="0"/>
          <w:color w:val="auto"/>
          <w:kern w:val="0"/>
          <w:sz w:val="36"/>
          <w:szCs w:val="36"/>
        </w:rPr>
        <w:t xml:space="preserve">  </w:t>
      </w:r>
      <w:r>
        <w:rPr>
          <w:rFonts w:ascii="方正小标宋简体" w:hAnsi="方正小标宋简体" w:eastAsia="方正小标宋简体" w:cs="方正小标宋简体"/>
          <w:b w:val="0"/>
          <w:color w:val="auto"/>
          <w:kern w:val="0"/>
          <w:sz w:val="36"/>
          <w:szCs w:val="36"/>
        </w:rPr>
        <w:t>名词解释</w:t>
      </w:r>
    </w:p>
    <w:p w14:paraId="5CA44E4A">
      <w:pPr>
        <w:pStyle w:val="23"/>
        <w:widowControl/>
        <w:spacing w:line="600" w:lineRule="exact"/>
        <w:ind w:firstLine="643" w:firstLineChars="200"/>
        <w:rPr>
          <w:rFonts w:hint="eastAsia" w:ascii="仿宋" w:hAnsi="仿宋" w:eastAsia="仿宋" w:cs="仿宋"/>
          <w:b/>
          <w:bCs/>
          <w:color w:val="auto"/>
          <w:kern w:val="0"/>
          <w:sz w:val="32"/>
          <w:szCs w:val="32"/>
        </w:rPr>
      </w:pPr>
    </w:p>
    <w:p w14:paraId="4D9E67B8">
      <w:pPr>
        <w:pStyle w:val="23"/>
        <w:widowControl/>
        <w:spacing w:line="60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一、财政拨款收入：</w:t>
      </w:r>
      <w:r>
        <w:rPr>
          <w:rFonts w:hint="eastAsia" w:ascii="仿宋_GB2312" w:hAnsi="仿宋" w:eastAsia="仿宋_GB2312" w:cs="仿宋"/>
          <w:color w:val="auto"/>
          <w:kern w:val="0"/>
          <w:sz w:val="32"/>
          <w:szCs w:val="32"/>
        </w:rPr>
        <w:t>从同级财政部门取得的各类财政拨款，包括一般公共预算财政拨款、政府性基金预算财政拨款、国有资本经营预算财政拨款。</w:t>
      </w:r>
    </w:p>
    <w:p w14:paraId="168FD3CE">
      <w:pPr>
        <w:pStyle w:val="23"/>
        <w:widowControl/>
        <w:spacing w:line="60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二、上级补助收入：</w:t>
      </w:r>
      <w:r>
        <w:rPr>
          <w:rFonts w:hint="eastAsia" w:ascii="仿宋_GB2312" w:hAnsi="仿宋" w:eastAsia="仿宋_GB2312" w:cs="仿宋"/>
          <w:color w:val="auto"/>
          <w:kern w:val="0"/>
          <w:sz w:val="32"/>
          <w:szCs w:val="32"/>
        </w:rPr>
        <w:t>指事业单位从主管部门和上级单位取得的非财政补助收入。</w:t>
      </w:r>
    </w:p>
    <w:p w14:paraId="17501984">
      <w:pPr>
        <w:pStyle w:val="23"/>
        <w:widowControl/>
        <w:spacing w:line="60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三、事业收入：</w:t>
      </w:r>
      <w:r>
        <w:rPr>
          <w:rFonts w:hint="eastAsia" w:ascii="仿宋_GB2312" w:hAnsi="仿宋" w:eastAsia="仿宋_GB2312" w:cs="仿宋"/>
          <w:color w:val="auto"/>
          <w:kern w:val="0"/>
          <w:sz w:val="32"/>
          <w:szCs w:val="32"/>
        </w:rPr>
        <w:t>指事业单位开展专业业务活动及其辅助活动取得的收入。</w:t>
      </w:r>
    </w:p>
    <w:p w14:paraId="4CCC9750">
      <w:pPr>
        <w:pStyle w:val="23"/>
        <w:widowControl/>
        <w:spacing w:line="60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四、经营收入：</w:t>
      </w:r>
      <w:r>
        <w:rPr>
          <w:rFonts w:hint="eastAsia" w:ascii="仿宋_GB2312" w:hAnsi="仿宋" w:eastAsia="仿宋_GB2312" w:cs="仿宋"/>
          <w:color w:val="auto"/>
          <w:kern w:val="0"/>
          <w:sz w:val="32"/>
          <w:szCs w:val="32"/>
        </w:rPr>
        <w:t>指事业单位在专业业务活动及其辅助活动之外开展非独立核算经营活动取得的收入。</w:t>
      </w:r>
    </w:p>
    <w:p w14:paraId="16238AA3">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五、附属单位上缴收入：</w:t>
      </w:r>
      <w:r>
        <w:rPr>
          <w:rFonts w:hint="eastAsia" w:ascii="仿宋_GB2312" w:hAnsi="仿宋" w:eastAsia="仿宋_GB2312" w:cs="仿宋"/>
          <w:color w:val="auto"/>
          <w:kern w:val="0"/>
          <w:sz w:val="32"/>
          <w:szCs w:val="32"/>
        </w:rPr>
        <w:t>指事业单位取得附属独立核算单位按照有关规定上缴的收入。</w:t>
      </w:r>
    </w:p>
    <w:p w14:paraId="33A4CCF7">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六、其他收入：</w:t>
      </w:r>
      <w:r>
        <w:rPr>
          <w:rFonts w:hint="eastAsia" w:ascii="仿宋_GB2312" w:hAnsi="仿宋" w:eastAsia="仿宋_GB2312" w:cs="仿宋"/>
          <w:color w:val="auto"/>
          <w:kern w:val="0"/>
          <w:sz w:val="32"/>
          <w:szCs w:val="32"/>
        </w:rPr>
        <w:t>取得的除上述财政拨款收入、上级补助收入、事业收入、经营收入、附属单位上缴收入等以外的各项收入。</w:t>
      </w:r>
    </w:p>
    <w:p w14:paraId="00BE69D2">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七、使用非财政拨款结余（含专用结余）：</w:t>
      </w:r>
      <w:r>
        <w:rPr>
          <w:rFonts w:hint="eastAsia" w:ascii="仿宋_GB2312" w:hAnsi="仿宋" w:eastAsia="仿宋_GB2312" w:cs="仿宋"/>
          <w:color w:val="auto"/>
          <w:kern w:val="0"/>
          <w:sz w:val="32"/>
          <w:szCs w:val="32"/>
        </w:rPr>
        <w:t>指事业单位按照预算管理要求使用非财政拨款结余弥补收支差额的金额，以及使用专用结余安排支出的金额。</w:t>
      </w:r>
    </w:p>
    <w:p w14:paraId="21781E5E">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八、年初结转和结余：</w:t>
      </w:r>
      <w:r>
        <w:rPr>
          <w:rFonts w:hint="eastAsia" w:ascii="仿宋_GB2312" w:hAnsi="仿宋" w:eastAsia="仿宋_GB2312" w:cs="仿宋"/>
          <w:color w:val="auto"/>
          <w:kern w:val="0"/>
          <w:sz w:val="32"/>
          <w:szCs w:val="32"/>
        </w:rPr>
        <w:t>指单位上年结转本年使用的基本支出结转、项目支出结转和结余、经营结余。</w:t>
      </w:r>
    </w:p>
    <w:p w14:paraId="0CAB12E0">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九、结余分配：</w:t>
      </w:r>
      <w:r>
        <w:rPr>
          <w:rFonts w:hint="eastAsia" w:ascii="仿宋_GB2312" w:hAnsi="仿宋" w:eastAsia="仿宋_GB2312" w:cs="仿宋"/>
          <w:color w:val="auto"/>
          <w:kern w:val="0"/>
          <w:sz w:val="32"/>
          <w:szCs w:val="32"/>
        </w:rPr>
        <w:t>指单位按规定缴纳企业所得税以及从非财政拨款结余或经营结余中提取各类结余的情况。</w:t>
      </w:r>
    </w:p>
    <w:p w14:paraId="3A12F2C5">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十、年末结转和结余资金：</w:t>
      </w:r>
      <w:r>
        <w:rPr>
          <w:rFonts w:hint="eastAsia" w:ascii="仿宋_GB2312" w:hAnsi="仿宋" w:eastAsia="仿宋_GB2312" w:cs="仿宋"/>
          <w:color w:val="auto"/>
          <w:kern w:val="0"/>
          <w:sz w:val="32"/>
          <w:szCs w:val="32"/>
        </w:rPr>
        <w:t>指单位结转下年的基本支出结转、项目支出结转和结余、经营结余。</w:t>
      </w:r>
    </w:p>
    <w:p w14:paraId="548EF6A6">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十一、基本支出：</w:t>
      </w:r>
      <w:r>
        <w:rPr>
          <w:rFonts w:hint="eastAsia" w:ascii="仿宋_GB2312" w:hAnsi="仿宋" w:eastAsia="仿宋_GB2312" w:cs="仿宋"/>
          <w:color w:val="auto"/>
          <w:kern w:val="0"/>
          <w:sz w:val="32"/>
          <w:szCs w:val="32"/>
        </w:rPr>
        <w:t>指为保障机构正常运转、完成日常工作任务所发生的支出，包括人员经费和公用经费。</w:t>
      </w:r>
    </w:p>
    <w:p w14:paraId="18A0A2F1">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十二、项目支出：</w:t>
      </w:r>
      <w:r>
        <w:rPr>
          <w:rFonts w:hint="eastAsia" w:ascii="仿宋_GB2312" w:hAnsi="仿宋" w:eastAsia="仿宋_GB2312" w:cs="仿宋"/>
          <w:color w:val="auto"/>
          <w:kern w:val="0"/>
          <w:sz w:val="32"/>
          <w:szCs w:val="32"/>
        </w:rPr>
        <w:t>指单位为完成特定的行政工作任务或事业发展目标，在基本支出之外发生的各项支出。</w:t>
      </w:r>
    </w:p>
    <w:p w14:paraId="6E0923A1">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十三、上缴上级支出：</w:t>
      </w:r>
      <w:r>
        <w:rPr>
          <w:rFonts w:hint="eastAsia" w:ascii="仿宋_GB2312" w:hAnsi="仿宋" w:eastAsia="仿宋_GB2312" w:cs="仿宋"/>
          <w:color w:val="auto"/>
          <w:kern w:val="0"/>
          <w:sz w:val="32"/>
          <w:szCs w:val="32"/>
        </w:rPr>
        <w:t>指事业单位按照财政部门和主管部门的规定上缴上级单位的支出。</w:t>
      </w:r>
    </w:p>
    <w:p w14:paraId="5F1985A0">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十四、经营支出：</w:t>
      </w:r>
      <w:r>
        <w:rPr>
          <w:rFonts w:hint="eastAsia" w:ascii="仿宋_GB2312" w:hAnsi="仿宋" w:eastAsia="仿宋_GB2312" w:cs="仿宋"/>
          <w:color w:val="auto"/>
          <w:kern w:val="0"/>
          <w:sz w:val="32"/>
          <w:szCs w:val="32"/>
        </w:rPr>
        <w:t>指事业单位在专业业务活动及其辅助活动之外开展非独立核算经营活动发生的支出。</w:t>
      </w:r>
    </w:p>
    <w:p w14:paraId="13811D03">
      <w:pPr>
        <w:pStyle w:val="23"/>
        <w:widowControl/>
        <w:spacing w:line="58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十五、对附属单位补助支出：</w:t>
      </w:r>
      <w:r>
        <w:rPr>
          <w:rFonts w:hint="eastAsia" w:ascii="仿宋_GB2312" w:hAnsi="仿宋" w:eastAsia="仿宋_GB2312" w:cs="仿宋"/>
          <w:color w:val="auto"/>
          <w:kern w:val="0"/>
          <w:sz w:val="32"/>
          <w:szCs w:val="32"/>
        </w:rPr>
        <w:t>指事业单位用财政拨款收入之外的收入对附属单位补助发生的支出。</w:t>
      </w:r>
    </w:p>
    <w:p w14:paraId="2E12139F">
      <w:pPr>
        <w:pStyle w:val="23"/>
        <w:widowControl/>
        <w:spacing w:line="60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十六、“三公”经费：</w:t>
      </w:r>
      <w:r>
        <w:rPr>
          <w:rFonts w:hint="eastAsia" w:ascii="仿宋_GB2312" w:hAnsi="仿宋" w:eastAsia="仿宋_GB2312" w:cs="仿宋"/>
          <w:color w:val="auto"/>
          <w:kern w:val="0"/>
          <w:sz w:val="32"/>
          <w:szCs w:val="32"/>
        </w:rPr>
        <w:t>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新能源汽车充电费、维修费、过路过桥费、保险费、安全奖励费用等支出；公务接待费反映单位按规定开支的各类公务接待（含外宾接待）费用。</w:t>
      </w:r>
    </w:p>
    <w:p w14:paraId="40D9A57B">
      <w:pPr>
        <w:pStyle w:val="23"/>
        <w:widowControl/>
        <w:spacing w:line="600" w:lineRule="exact"/>
        <w:ind w:firstLine="643" w:firstLineChars="200"/>
        <w:rPr>
          <w:rFonts w:hint="eastAsia" w:ascii="仿宋_GB2312" w:eastAsia="仿宋_GB2312"/>
          <w:color w:val="auto"/>
          <w:kern w:val="0"/>
          <w:sz w:val="24"/>
        </w:rPr>
      </w:pPr>
      <w:r>
        <w:rPr>
          <w:rFonts w:hint="eastAsia" w:ascii="仿宋_GB2312" w:hAnsi="仿宋" w:eastAsia="仿宋_GB2312" w:cs="仿宋"/>
          <w:b/>
          <w:bCs/>
          <w:color w:val="auto"/>
          <w:kern w:val="0"/>
          <w:sz w:val="32"/>
          <w:szCs w:val="32"/>
        </w:rPr>
        <w:t>十七、机关运行经费：</w:t>
      </w:r>
      <w:r>
        <w:rPr>
          <w:rFonts w:hint="eastAsia" w:ascii="仿宋_GB2312" w:hAnsi="仿宋" w:eastAsia="仿宋_GB2312" w:cs="仿宋"/>
          <w:color w:val="auto"/>
          <w:kern w:val="0"/>
          <w:sz w:val="32"/>
          <w:szCs w:val="32"/>
        </w:rPr>
        <w:t>指行政单位和参照公务员法管理的事业单位财政拨款基本支出中的公用经费支出。</w:t>
      </w:r>
    </w:p>
    <w:p w14:paraId="60C9A3DB">
      <w:pPr>
        <w:widowControl/>
        <w:spacing w:line="600" w:lineRule="exact"/>
        <w:ind w:firstLine="480" w:firstLineChars="200"/>
        <w:rPr>
          <w:rFonts w:eastAsia="Times New Roman"/>
          <w:color w:val="auto"/>
          <w:kern w:val="0"/>
          <w:sz w:val="24"/>
        </w:rPr>
      </w:pPr>
    </w:p>
    <w:p w14:paraId="10FFC188">
      <w:pPr>
        <w:pStyle w:val="4"/>
        <w:keepNext w:val="0"/>
        <w:keepLines w:val="0"/>
        <w:widowControl/>
        <w:spacing w:before="0" w:after="0" w:line="600" w:lineRule="exact"/>
        <w:jc w:val="center"/>
        <w:rPr>
          <w:rFonts w:ascii="方正小标宋简体" w:hAnsi="方正小标宋简体" w:eastAsia="方正小标宋简体" w:cs="方正小标宋简体"/>
          <w:b w:val="0"/>
          <w:color w:val="auto"/>
          <w:kern w:val="0"/>
          <w:sz w:val="36"/>
          <w:szCs w:val="36"/>
        </w:rPr>
      </w:pPr>
      <w:r>
        <w:rPr>
          <w:rFonts w:ascii="方正小标宋简体" w:hAnsi="方正小标宋简体" w:eastAsia="方正小标宋简体" w:cs="方正小标宋简体"/>
          <w:b w:val="0"/>
          <w:color w:val="auto"/>
          <w:kern w:val="0"/>
          <w:sz w:val="36"/>
          <w:szCs w:val="36"/>
        </w:rPr>
        <w:t>第四部分</w:t>
      </w:r>
      <w:r>
        <w:rPr>
          <w:rFonts w:hint="eastAsia" w:ascii="方正小标宋简体" w:hAnsi="方正小标宋简体" w:eastAsia="方正小标宋简体" w:cs="方正小标宋简体"/>
          <w:b w:val="0"/>
          <w:color w:val="auto"/>
          <w:kern w:val="0"/>
          <w:sz w:val="36"/>
          <w:szCs w:val="36"/>
        </w:rPr>
        <w:t xml:space="preserve">  </w:t>
      </w:r>
      <w:r>
        <w:rPr>
          <w:rFonts w:ascii="方正小标宋简体" w:hAnsi="方正小标宋简体" w:eastAsia="方正小标宋简体" w:cs="方正小标宋简体"/>
          <w:b w:val="0"/>
          <w:color w:val="auto"/>
          <w:kern w:val="0"/>
          <w:sz w:val="36"/>
          <w:szCs w:val="36"/>
        </w:rPr>
        <w:t>决算公开联系方式及信息反馈渠道</w:t>
      </w:r>
    </w:p>
    <w:p w14:paraId="2A9A189B">
      <w:pPr>
        <w:widowControl/>
        <w:spacing w:line="600" w:lineRule="exact"/>
        <w:ind w:firstLine="480" w:firstLineChars="200"/>
        <w:rPr>
          <w:rFonts w:eastAsia="Times New Roman"/>
          <w:color w:val="auto"/>
          <w:kern w:val="0"/>
          <w:sz w:val="24"/>
        </w:rPr>
      </w:pPr>
    </w:p>
    <w:p w14:paraId="70BA9A09">
      <w:pPr>
        <w:pStyle w:val="23"/>
        <w:widowControl/>
        <w:spacing w:line="600" w:lineRule="exact"/>
        <w:ind w:firstLine="640" w:firstLineChars="200"/>
        <w:rPr>
          <w:rFonts w:eastAsia="仿宋_GB2312"/>
          <w:color w:val="auto"/>
          <w:kern w:val="0"/>
          <w:sz w:val="24"/>
        </w:rPr>
      </w:pPr>
      <w:r>
        <w:rPr>
          <w:rFonts w:eastAsia="仿宋_GB2312"/>
          <w:color w:val="auto"/>
          <w:kern w:val="0"/>
          <w:sz w:val="32"/>
          <w:szCs w:val="32"/>
        </w:rPr>
        <w:t>本单位决算公开信息反馈和联系方式：</w:t>
      </w:r>
    </w:p>
    <w:p w14:paraId="715AD6DB">
      <w:pPr>
        <w:pStyle w:val="23"/>
        <w:widowControl/>
        <w:spacing w:line="600" w:lineRule="exact"/>
        <w:ind w:firstLine="640" w:firstLineChars="200"/>
        <w:rPr>
          <w:rFonts w:eastAsia="仿宋_GB2312"/>
          <w:color w:val="auto"/>
          <w:kern w:val="0"/>
          <w:sz w:val="24"/>
        </w:rPr>
      </w:pPr>
      <w:r>
        <w:rPr>
          <w:rFonts w:eastAsia="仿宋_GB2312"/>
          <w:color w:val="auto"/>
          <w:kern w:val="0"/>
          <w:sz w:val="32"/>
          <w:szCs w:val="32"/>
        </w:rPr>
        <w:t>联系人：谭林夫联系电话：0471-4628305</w:t>
      </w:r>
    </w:p>
    <w:p w14:paraId="3671BC4F">
      <w:pPr>
        <w:widowControl/>
        <w:spacing w:line="600" w:lineRule="exact"/>
        <w:ind w:firstLine="480" w:firstLineChars="200"/>
        <w:rPr>
          <w:rFonts w:eastAsia="Times New Roman"/>
          <w:color w:val="auto"/>
          <w:kern w:val="0"/>
          <w:sz w:val="24"/>
        </w:rPr>
      </w:pPr>
    </w:p>
    <w:p w14:paraId="4FF6F1C0">
      <w:pPr>
        <w:pStyle w:val="4"/>
        <w:keepNext w:val="0"/>
        <w:keepLines w:val="0"/>
        <w:widowControl/>
        <w:spacing w:before="0" w:after="0" w:line="600" w:lineRule="exact"/>
        <w:jc w:val="center"/>
        <w:rPr>
          <w:rFonts w:ascii="方正小标宋简体" w:hAnsi="方正小标宋简体" w:eastAsia="方正小标宋简体" w:cs="方正小标宋简体"/>
          <w:b w:val="0"/>
          <w:color w:val="auto"/>
          <w:kern w:val="0"/>
          <w:sz w:val="36"/>
          <w:szCs w:val="36"/>
        </w:rPr>
      </w:pPr>
      <w:r>
        <w:rPr>
          <w:rFonts w:ascii="方正小标宋简体" w:hAnsi="方正小标宋简体" w:eastAsia="方正小标宋简体" w:cs="方正小标宋简体"/>
          <w:b w:val="0"/>
          <w:color w:val="auto"/>
          <w:kern w:val="0"/>
          <w:sz w:val="36"/>
          <w:szCs w:val="36"/>
        </w:rPr>
        <w:t>第五部分</w:t>
      </w:r>
      <w:r>
        <w:rPr>
          <w:rFonts w:hint="eastAsia" w:ascii="方正小标宋简体" w:hAnsi="方正小标宋简体" w:eastAsia="方正小标宋简体" w:cs="方正小标宋简体"/>
          <w:b w:val="0"/>
          <w:color w:val="auto"/>
          <w:kern w:val="0"/>
          <w:sz w:val="36"/>
          <w:szCs w:val="36"/>
        </w:rPr>
        <w:t xml:space="preserve">  </w:t>
      </w:r>
      <w:r>
        <w:rPr>
          <w:rFonts w:ascii="方正小标宋简体" w:hAnsi="方正小标宋简体" w:eastAsia="方正小标宋简体" w:cs="方正小标宋简体"/>
          <w:b w:val="0"/>
          <w:color w:val="auto"/>
          <w:kern w:val="0"/>
          <w:sz w:val="36"/>
          <w:szCs w:val="36"/>
        </w:rPr>
        <w:t>单位决算表</w:t>
      </w:r>
    </w:p>
    <w:p w14:paraId="30D13CB4">
      <w:pPr>
        <w:pStyle w:val="23"/>
        <w:widowControl/>
        <w:spacing w:line="600" w:lineRule="exact"/>
        <w:ind w:firstLine="480" w:firstLineChars="200"/>
        <w:rPr>
          <w:rFonts w:eastAsia="Times New Roman"/>
          <w:color w:val="auto"/>
          <w:kern w:val="0"/>
          <w:sz w:val="24"/>
        </w:rPr>
      </w:pPr>
      <w:r>
        <w:rPr>
          <w:rFonts w:eastAsia="Times New Roman"/>
          <w:color w:val="auto"/>
          <w:kern w:val="0"/>
          <w:sz w:val="24"/>
        </w:rPr>
        <w:t> </w:t>
      </w:r>
    </w:p>
    <w:p w14:paraId="24C1CF72">
      <w:pPr>
        <w:spacing w:line="600" w:lineRule="exact"/>
        <w:ind w:firstLine="640" w:firstLineChars="200"/>
        <w:rPr>
          <w:rFonts w:hint="eastAsia" w:ascii="仿宋_GB2312" w:eastAsia="仿宋_GB2312"/>
          <w:color w:val="auto"/>
        </w:rPr>
      </w:pPr>
      <w:r>
        <w:rPr>
          <w:rFonts w:hint="eastAsia" w:ascii="仿宋_GB2312" w:hAnsi="仿宋" w:eastAsia="仿宋_GB2312" w:cs="仿宋"/>
          <w:color w:val="auto"/>
          <w:kern w:val="0"/>
          <w:sz w:val="32"/>
          <w:szCs w:val="32"/>
        </w:rPr>
        <w:t>见附件。</w:t>
      </w:r>
    </w:p>
    <w:sectPr>
      <w:pgSz w:w="11907" w:h="16839"/>
      <w:pgMar w:top="1440" w:right="1797" w:bottom="1440" w:left="179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altName w:val="仿宋_GB2312"/>
    <w:panose1 w:val="02000000000000000000"/>
    <w:charset w:val="86"/>
    <w:family w:val="script"/>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03894"/>
      <w:docPartObj>
        <w:docPartGallery w:val="autotext"/>
      </w:docPartObj>
    </w:sdtPr>
    <w:sdtEndPr>
      <w:rPr>
        <w:rFonts w:asciiTheme="minorEastAsia" w:hAnsiTheme="minorEastAsia" w:eastAsiaTheme="minorEastAsia"/>
        <w:sz w:val="24"/>
        <w:szCs w:val="24"/>
      </w:rPr>
    </w:sdtEndPr>
    <w:sdtContent>
      <w:p w14:paraId="5ABF39A8">
        <w:pPr>
          <w:pStyle w:val="9"/>
          <w:jc w:val="center"/>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PAGE   \* MERGEFORMAT </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22 -</w:t>
        </w:r>
        <w:r>
          <w:rPr>
            <w:rFonts w:asciiTheme="minorEastAsia" w:hAnsiTheme="minorEastAsia" w:eastAsiaTheme="minorEastAsia"/>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409F6"/>
    <w:rsid w:val="00000117"/>
    <w:rsid w:val="00000397"/>
    <w:rsid w:val="000005BB"/>
    <w:rsid w:val="000006E8"/>
    <w:rsid w:val="00000E47"/>
    <w:rsid w:val="0000107C"/>
    <w:rsid w:val="00001195"/>
    <w:rsid w:val="000011A0"/>
    <w:rsid w:val="000011E1"/>
    <w:rsid w:val="00001202"/>
    <w:rsid w:val="000019E5"/>
    <w:rsid w:val="00001B04"/>
    <w:rsid w:val="00001BAD"/>
    <w:rsid w:val="00001C03"/>
    <w:rsid w:val="00001D5E"/>
    <w:rsid w:val="00002065"/>
    <w:rsid w:val="000020D0"/>
    <w:rsid w:val="00002157"/>
    <w:rsid w:val="000023CF"/>
    <w:rsid w:val="0000247D"/>
    <w:rsid w:val="00002824"/>
    <w:rsid w:val="000028A2"/>
    <w:rsid w:val="00002C9C"/>
    <w:rsid w:val="00002F70"/>
    <w:rsid w:val="000034BF"/>
    <w:rsid w:val="00003563"/>
    <w:rsid w:val="0000372E"/>
    <w:rsid w:val="00003840"/>
    <w:rsid w:val="00003A07"/>
    <w:rsid w:val="00003B1E"/>
    <w:rsid w:val="00003B53"/>
    <w:rsid w:val="00003CC8"/>
    <w:rsid w:val="00003E84"/>
    <w:rsid w:val="00003F8C"/>
    <w:rsid w:val="000041A0"/>
    <w:rsid w:val="000042A4"/>
    <w:rsid w:val="000042C4"/>
    <w:rsid w:val="0000461A"/>
    <w:rsid w:val="0000482B"/>
    <w:rsid w:val="00004DE3"/>
    <w:rsid w:val="000052F4"/>
    <w:rsid w:val="0000533D"/>
    <w:rsid w:val="00005449"/>
    <w:rsid w:val="000054BE"/>
    <w:rsid w:val="00005550"/>
    <w:rsid w:val="00005557"/>
    <w:rsid w:val="000055F0"/>
    <w:rsid w:val="00005660"/>
    <w:rsid w:val="000056DE"/>
    <w:rsid w:val="00005A4A"/>
    <w:rsid w:val="00005BCD"/>
    <w:rsid w:val="00005C5D"/>
    <w:rsid w:val="00005E70"/>
    <w:rsid w:val="00005EC2"/>
    <w:rsid w:val="00006179"/>
    <w:rsid w:val="00006298"/>
    <w:rsid w:val="00006338"/>
    <w:rsid w:val="000066DB"/>
    <w:rsid w:val="0000688F"/>
    <w:rsid w:val="00006A08"/>
    <w:rsid w:val="00006B58"/>
    <w:rsid w:val="00006CD7"/>
    <w:rsid w:val="00006D7A"/>
    <w:rsid w:val="00006DC2"/>
    <w:rsid w:val="00006F33"/>
    <w:rsid w:val="00006F40"/>
    <w:rsid w:val="0000706F"/>
    <w:rsid w:val="00007084"/>
    <w:rsid w:val="0000730C"/>
    <w:rsid w:val="00007324"/>
    <w:rsid w:val="000074AE"/>
    <w:rsid w:val="000075D3"/>
    <w:rsid w:val="0000767A"/>
    <w:rsid w:val="000077C0"/>
    <w:rsid w:val="000077F3"/>
    <w:rsid w:val="000078D6"/>
    <w:rsid w:val="0000797C"/>
    <w:rsid w:val="00007A00"/>
    <w:rsid w:val="00007B8C"/>
    <w:rsid w:val="00007C2C"/>
    <w:rsid w:val="00007FC3"/>
    <w:rsid w:val="00010144"/>
    <w:rsid w:val="000101E2"/>
    <w:rsid w:val="00010408"/>
    <w:rsid w:val="00010479"/>
    <w:rsid w:val="000106F7"/>
    <w:rsid w:val="00010763"/>
    <w:rsid w:val="000107F9"/>
    <w:rsid w:val="00010A58"/>
    <w:rsid w:val="00010A6B"/>
    <w:rsid w:val="00010EE4"/>
    <w:rsid w:val="00010FFD"/>
    <w:rsid w:val="0001127C"/>
    <w:rsid w:val="000112D8"/>
    <w:rsid w:val="0001136E"/>
    <w:rsid w:val="00011558"/>
    <w:rsid w:val="000115BE"/>
    <w:rsid w:val="000119DA"/>
    <w:rsid w:val="00011A7B"/>
    <w:rsid w:val="00011B62"/>
    <w:rsid w:val="00011D6A"/>
    <w:rsid w:val="00011E7B"/>
    <w:rsid w:val="00011FB9"/>
    <w:rsid w:val="0001206A"/>
    <w:rsid w:val="0001208A"/>
    <w:rsid w:val="00012171"/>
    <w:rsid w:val="00012772"/>
    <w:rsid w:val="00012A30"/>
    <w:rsid w:val="00012E97"/>
    <w:rsid w:val="00012FF4"/>
    <w:rsid w:val="00013378"/>
    <w:rsid w:val="0001339A"/>
    <w:rsid w:val="0001344B"/>
    <w:rsid w:val="00013504"/>
    <w:rsid w:val="0001389E"/>
    <w:rsid w:val="000139A7"/>
    <w:rsid w:val="00013C9F"/>
    <w:rsid w:val="00013EC3"/>
    <w:rsid w:val="00013F5A"/>
    <w:rsid w:val="0001409F"/>
    <w:rsid w:val="0001427E"/>
    <w:rsid w:val="00014299"/>
    <w:rsid w:val="000142B2"/>
    <w:rsid w:val="000145AA"/>
    <w:rsid w:val="00014A03"/>
    <w:rsid w:val="00014C6F"/>
    <w:rsid w:val="00014D05"/>
    <w:rsid w:val="00014D7A"/>
    <w:rsid w:val="00014DBB"/>
    <w:rsid w:val="0001545F"/>
    <w:rsid w:val="000154ED"/>
    <w:rsid w:val="0001575C"/>
    <w:rsid w:val="000158F5"/>
    <w:rsid w:val="00015999"/>
    <w:rsid w:val="00015B49"/>
    <w:rsid w:val="00015C88"/>
    <w:rsid w:val="00016096"/>
    <w:rsid w:val="00016121"/>
    <w:rsid w:val="0001648C"/>
    <w:rsid w:val="00016568"/>
    <w:rsid w:val="0001662B"/>
    <w:rsid w:val="0001667F"/>
    <w:rsid w:val="00016D28"/>
    <w:rsid w:val="00016DF4"/>
    <w:rsid w:val="0001730A"/>
    <w:rsid w:val="0001735A"/>
    <w:rsid w:val="000176D4"/>
    <w:rsid w:val="00017946"/>
    <w:rsid w:val="00017A38"/>
    <w:rsid w:val="00017B50"/>
    <w:rsid w:val="00017C9E"/>
    <w:rsid w:val="00017CFB"/>
    <w:rsid w:val="00017DB9"/>
    <w:rsid w:val="00017EBD"/>
    <w:rsid w:val="00020201"/>
    <w:rsid w:val="00020250"/>
    <w:rsid w:val="000205CB"/>
    <w:rsid w:val="000208B5"/>
    <w:rsid w:val="00020B02"/>
    <w:rsid w:val="00020C99"/>
    <w:rsid w:val="00020F16"/>
    <w:rsid w:val="000212F0"/>
    <w:rsid w:val="00021563"/>
    <w:rsid w:val="000215DB"/>
    <w:rsid w:val="00021743"/>
    <w:rsid w:val="00021B52"/>
    <w:rsid w:val="00021D9F"/>
    <w:rsid w:val="00021E0E"/>
    <w:rsid w:val="00022018"/>
    <w:rsid w:val="00022232"/>
    <w:rsid w:val="000223EF"/>
    <w:rsid w:val="0002242F"/>
    <w:rsid w:val="0002243F"/>
    <w:rsid w:val="00022D32"/>
    <w:rsid w:val="00022D8B"/>
    <w:rsid w:val="00022DA1"/>
    <w:rsid w:val="00022DB7"/>
    <w:rsid w:val="00022E28"/>
    <w:rsid w:val="00022F2D"/>
    <w:rsid w:val="00022FD5"/>
    <w:rsid w:val="00023758"/>
    <w:rsid w:val="00023C2E"/>
    <w:rsid w:val="00023E1E"/>
    <w:rsid w:val="00023F3F"/>
    <w:rsid w:val="00023F8D"/>
    <w:rsid w:val="00024090"/>
    <w:rsid w:val="00024534"/>
    <w:rsid w:val="00024538"/>
    <w:rsid w:val="0002460A"/>
    <w:rsid w:val="000246E0"/>
    <w:rsid w:val="000246F9"/>
    <w:rsid w:val="00024899"/>
    <w:rsid w:val="000249A4"/>
    <w:rsid w:val="00024B55"/>
    <w:rsid w:val="00024D68"/>
    <w:rsid w:val="00024F3B"/>
    <w:rsid w:val="0002525D"/>
    <w:rsid w:val="00025266"/>
    <w:rsid w:val="00025288"/>
    <w:rsid w:val="00025311"/>
    <w:rsid w:val="000254AE"/>
    <w:rsid w:val="000255F9"/>
    <w:rsid w:val="00025691"/>
    <w:rsid w:val="00025991"/>
    <w:rsid w:val="00025A46"/>
    <w:rsid w:val="00025F76"/>
    <w:rsid w:val="0002647A"/>
    <w:rsid w:val="000265C4"/>
    <w:rsid w:val="00026600"/>
    <w:rsid w:val="000267F1"/>
    <w:rsid w:val="000269AA"/>
    <w:rsid w:val="00026BB8"/>
    <w:rsid w:val="00026EA4"/>
    <w:rsid w:val="00027121"/>
    <w:rsid w:val="000271E5"/>
    <w:rsid w:val="00027337"/>
    <w:rsid w:val="000274A6"/>
    <w:rsid w:val="0002759A"/>
    <w:rsid w:val="000276CB"/>
    <w:rsid w:val="000277A5"/>
    <w:rsid w:val="00027903"/>
    <w:rsid w:val="00027920"/>
    <w:rsid w:val="00027948"/>
    <w:rsid w:val="00027A43"/>
    <w:rsid w:val="00027A9A"/>
    <w:rsid w:val="00027AC3"/>
    <w:rsid w:val="00027C81"/>
    <w:rsid w:val="0003008A"/>
    <w:rsid w:val="000300CC"/>
    <w:rsid w:val="00030259"/>
    <w:rsid w:val="0003025D"/>
    <w:rsid w:val="0003062D"/>
    <w:rsid w:val="0003087E"/>
    <w:rsid w:val="00030B9D"/>
    <w:rsid w:val="00030C7B"/>
    <w:rsid w:val="00030DE9"/>
    <w:rsid w:val="000310C4"/>
    <w:rsid w:val="0003132F"/>
    <w:rsid w:val="0003167B"/>
    <w:rsid w:val="000318DC"/>
    <w:rsid w:val="000318DE"/>
    <w:rsid w:val="00031B47"/>
    <w:rsid w:val="00031BC6"/>
    <w:rsid w:val="00031E89"/>
    <w:rsid w:val="00031E93"/>
    <w:rsid w:val="00031F42"/>
    <w:rsid w:val="00032002"/>
    <w:rsid w:val="00032192"/>
    <w:rsid w:val="00032254"/>
    <w:rsid w:val="0003228D"/>
    <w:rsid w:val="00032743"/>
    <w:rsid w:val="00032968"/>
    <w:rsid w:val="00032A15"/>
    <w:rsid w:val="00032BEC"/>
    <w:rsid w:val="00032E95"/>
    <w:rsid w:val="00033027"/>
    <w:rsid w:val="0003307F"/>
    <w:rsid w:val="000330B7"/>
    <w:rsid w:val="000331B5"/>
    <w:rsid w:val="000331BA"/>
    <w:rsid w:val="000335BB"/>
    <w:rsid w:val="00033828"/>
    <w:rsid w:val="00033891"/>
    <w:rsid w:val="00033901"/>
    <w:rsid w:val="00033924"/>
    <w:rsid w:val="0003399C"/>
    <w:rsid w:val="000339D0"/>
    <w:rsid w:val="00033A40"/>
    <w:rsid w:val="00033FDD"/>
    <w:rsid w:val="00034048"/>
    <w:rsid w:val="000340F6"/>
    <w:rsid w:val="0003423A"/>
    <w:rsid w:val="00034243"/>
    <w:rsid w:val="00034276"/>
    <w:rsid w:val="00034306"/>
    <w:rsid w:val="00034323"/>
    <w:rsid w:val="000343BB"/>
    <w:rsid w:val="00034557"/>
    <w:rsid w:val="00034669"/>
    <w:rsid w:val="000347BB"/>
    <w:rsid w:val="000348FF"/>
    <w:rsid w:val="00034CB1"/>
    <w:rsid w:val="000350BF"/>
    <w:rsid w:val="00035197"/>
    <w:rsid w:val="00035398"/>
    <w:rsid w:val="00035418"/>
    <w:rsid w:val="00035495"/>
    <w:rsid w:val="00035554"/>
    <w:rsid w:val="00035619"/>
    <w:rsid w:val="000357ED"/>
    <w:rsid w:val="000358FD"/>
    <w:rsid w:val="00035C38"/>
    <w:rsid w:val="00035D28"/>
    <w:rsid w:val="00035F45"/>
    <w:rsid w:val="0003611D"/>
    <w:rsid w:val="00036651"/>
    <w:rsid w:val="0003667B"/>
    <w:rsid w:val="000368B6"/>
    <w:rsid w:val="00036C15"/>
    <w:rsid w:val="00036E61"/>
    <w:rsid w:val="00036F89"/>
    <w:rsid w:val="000370EB"/>
    <w:rsid w:val="000372C7"/>
    <w:rsid w:val="00037554"/>
    <w:rsid w:val="00037771"/>
    <w:rsid w:val="000377DA"/>
    <w:rsid w:val="00037A61"/>
    <w:rsid w:val="00037D71"/>
    <w:rsid w:val="00037EB8"/>
    <w:rsid w:val="00037EE1"/>
    <w:rsid w:val="0004019B"/>
    <w:rsid w:val="00040295"/>
    <w:rsid w:val="0004036D"/>
    <w:rsid w:val="0004045D"/>
    <w:rsid w:val="00040584"/>
    <w:rsid w:val="000406E6"/>
    <w:rsid w:val="00040842"/>
    <w:rsid w:val="000409F4"/>
    <w:rsid w:val="00040BFA"/>
    <w:rsid w:val="00040D21"/>
    <w:rsid w:val="00040D49"/>
    <w:rsid w:val="00040F17"/>
    <w:rsid w:val="000412AC"/>
    <w:rsid w:val="00041362"/>
    <w:rsid w:val="000415C1"/>
    <w:rsid w:val="000415C6"/>
    <w:rsid w:val="00041740"/>
    <w:rsid w:val="00041806"/>
    <w:rsid w:val="00041870"/>
    <w:rsid w:val="0004193C"/>
    <w:rsid w:val="00041BA1"/>
    <w:rsid w:val="00041F03"/>
    <w:rsid w:val="0004237F"/>
    <w:rsid w:val="000423B6"/>
    <w:rsid w:val="0004241E"/>
    <w:rsid w:val="00042875"/>
    <w:rsid w:val="00042E4D"/>
    <w:rsid w:val="00042FE1"/>
    <w:rsid w:val="00043121"/>
    <w:rsid w:val="00043195"/>
    <w:rsid w:val="000431C2"/>
    <w:rsid w:val="0004330F"/>
    <w:rsid w:val="0004340A"/>
    <w:rsid w:val="000434B4"/>
    <w:rsid w:val="00043A55"/>
    <w:rsid w:val="00043AC8"/>
    <w:rsid w:val="00043AF9"/>
    <w:rsid w:val="00043DAF"/>
    <w:rsid w:val="00043E28"/>
    <w:rsid w:val="000445A7"/>
    <w:rsid w:val="0004463E"/>
    <w:rsid w:val="000446FD"/>
    <w:rsid w:val="00044865"/>
    <w:rsid w:val="00044C83"/>
    <w:rsid w:val="00044D66"/>
    <w:rsid w:val="00044F41"/>
    <w:rsid w:val="00044F90"/>
    <w:rsid w:val="00045048"/>
    <w:rsid w:val="000453E6"/>
    <w:rsid w:val="000454E2"/>
    <w:rsid w:val="00045610"/>
    <w:rsid w:val="000456AD"/>
    <w:rsid w:val="00045A1D"/>
    <w:rsid w:val="00045B27"/>
    <w:rsid w:val="00045B8F"/>
    <w:rsid w:val="00045C8F"/>
    <w:rsid w:val="000460CF"/>
    <w:rsid w:val="00046190"/>
    <w:rsid w:val="000461CF"/>
    <w:rsid w:val="00046259"/>
    <w:rsid w:val="00046272"/>
    <w:rsid w:val="000464CA"/>
    <w:rsid w:val="000465BD"/>
    <w:rsid w:val="000466DC"/>
    <w:rsid w:val="000467E3"/>
    <w:rsid w:val="00046A2F"/>
    <w:rsid w:val="0004717E"/>
    <w:rsid w:val="00047292"/>
    <w:rsid w:val="00047364"/>
    <w:rsid w:val="0004736D"/>
    <w:rsid w:val="000473E9"/>
    <w:rsid w:val="000479B5"/>
    <w:rsid w:val="00047CC5"/>
    <w:rsid w:val="00047F78"/>
    <w:rsid w:val="00050106"/>
    <w:rsid w:val="000501E1"/>
    <w:rsid w:val="000501F2"/>
    <w:rsid w:val="00050290"/>
    <w:rsid w:val="000502C5"/>
    <w:rsid w:val="000508B8"/>
    <w:rsid w:val="00050AD0"/>
    <w:rsid w:val="00050E8B"/>
    <w:rsid w:val="00051323"/>
    <w:rsid w:val="0005180C"/>
    <w:rsid w:val="000518B3"/>
    <w:rsid w:val="00051AB1"/>
    <w:rsid w:val="00051D1A"/>
    <w:rsid w:val="00051D8F"/>
    <w:rsid w:val="00052092"/>
    <w:rsid w:val="0005218A"/>
    <w:rsid w:val="00052349"/>
    <w:rsid w:val="000528B7"/>
    <w:rsid w:val="00052A02"/>
    <w:rsid w:val="00052A69"/>
    <w:rsid w:val="000530D7"/>
    <w:rsid w:val="000531E1"/>
    <w:rsid w:val="00053603"/>
    <w:rsid w:val="000536DD"/>
    <w:rsid w:val="000536EB"/>
    <w:rsid w:val="0005391E"/>
    <w:rsid w:val="00053C22"/>
    <w:rsid w:val="00053C74"/>
    <w:rsid w:val="00053D3D"/>
    <w:rsid w:val="00053DC9"/>
    <w:rsid w:val="00053F65"/>
    <w:rsid w:val="0005403F"/>
    <w:rsid w:val="000541AF"/>
    <w:rsid w:val="000544FE"/>
    <w:rsid w:val="00054550"/>
    <w:rsid w:val="000545B2"/>
    <w:rsid w:val="00054670"/>
    <w:rsid w:val="00054A93"/>
    <w:rsid w:val="00054AC1"/>
    <w:rsid w:val="00054B7C"/>
    <w:rsid w:val="00054C12"/>
    <w:rsid w:val="00054D54"/>
    <w:rsid w:val="00054D5E"/>
    <w:rsid w:val="00054D87"/>
    <w:rsid w:val="00054E45"/>
    <w:rsid w:val="0005525C"/>
    <w:rsid w:val="00055283"/>
    <w:rsid w:val="00055310"/>
    <w:rsid w:val="000553F7"/>
    <w:rsid w:val="00055464"/>
    <w:rsid w:val="000554F8"/>
    <w:rsid w:val="00055C4F"/>
    <w:rsid w:val="00055CCF"/>
    <w:rsid w:val="00055CE7"/>
    <w:rsid w:val="00055FA8"/>
    <w:rsid w:val="0005614B"/>
    <w:rsid w:val="0005626B"/>
    <w:rsid w:val="000565C0"/>
    <w:rsid w:val="00056667"/>
    <w:rsid w:val="00056772"/>
    <w:rsid w:val="000567E2"/>
    <w:rsid w:val="000568B3"/>
    <w:rsid w:val="00056929"/>
    <w:rsid w:val="00056ADA"/>
    <w:rsid w:val="00056B6A"/>
    <w:rsid w:val="00056B9B"/>
    <w:rsid w:val="00056FDC"/>
    <w:rsid w:val="00057115"/>
    <w:rsid w:val="00057565"/>
    <w:rsid w:val="0005784B"/>
    <w:rsid w:val="00057909"/>
    <w:rsid w:val="00057DC0"/>
    <w:rsid w:val="00060102"/>
    <w:rsid w:val="00060151"/>
    <w:rsid w:val="0006046D"/>
    <w:rsid w:val="00060518"/>
    <w:rsid w:val="000606E0"/>
    <w:rsid w:val="00060711"/>
    <w:rsid w:val="00060873"/>
    <w:rsid w:val="0006094B"/>
    <w:rsid w:val="0006094F"/>
    <w:rsid w:val="00060951"/>
    <w:rsid w:val="0006095B"/>
    <w:rsid w:val="00060961"/>
    <w:rsid w:val="000609EA"/>
    <w:rsid w:val="00060ACC"/>
    <w:rsid w:val="00060C82"/>
    <w:rsid w:val="00060E1E"/>
    <w:rsid w:val="00060E58"/>
    <w:rsid w:val="00061010"/>
    <w:rsid w:val="00061698"/>
    <w:rsid w:val="0006172A"/>
    <w:rsid w:val="00061802"/>
    <w:rsid w:val="0006183D"/>
    <w:rsid w:val="0006187F"/>
    <w:rsid w:val="00061917"/>
    <w:rsid w:val="00061A5B"/>
    <w:rsid w:val="00061ADC"/>
    <w:rsid w:val="000621AB"/>
    <w:rsid w:val="00062202"/>
    <w:rsid w:val="000624C8"/>
    <w:rsid w:val="00062890"/>
    <w:rsid w:val="000628E4"/>
    <w:rsid w:val="00062D56"/>
    <w:rsid w:val="000632C7"/>
    <w:rsid w:val="00063319"/>
    <w:rsid w:val="00063382"/>
    <w:rsid w:val="000634EC"/>
    <w:rsid w:val="0006392F"/>
    <w:rsid w:val="00063A5D"/>
    <w:rsid w:val="00063C3E"/>
    <w:rsid w:val="00063C5C"/>
    <w:rsid w:val="00063D8E"/>
    <w:rsid w:val="00063FCA"/>
    <w:rsid w:val="00064057"/>
    <w:rsid w:val="00064098"/>
    <w:rsid w:val="00064146"/>
    <w:rsid w:val="00064193"/>
    <w:rsid w:val="000643DE"/>
    <w:rsid w:val="000646B7"/>
    <w:rsid w:val="000646E2"/>
    <w:rsid w:val="000647C9"/>
    <w:rsid w:val="00064AB9"/>
    <w:rsid w:val="00064B1C"/>
    <w:rsid w:val="00064CAF"/>
    <w:rsid w:val="00064EAF"/>
    <w:rsid w:val="00064EF2"/>
    <w:rsid w:val="00064F34"/>
    <w:rsid w:val="0006533D"/>
    <w:rsid w:val="00065474"/>
    <w:rsid w:val="000657BC"/>
    <w:rsid w:val="00065A28"/>
    <w:rsid w:val="00065DFD"/>
    <w:rsid w:val="000664F3"/>
    <w:rsid w:val="00066522"/>
    <w:rsid w:val="00066760"/>
    <w:rsid w:val="0006686F"/>
    <w:rsid w:val="00066B17"/>
    <w:rsid w:val="00066DFA"/>
    <w:rsid w:val="00066E0E"/>
    <w:rsid w:val="000671C0"/>
    <w:rsid w:val="00067252"/>
    <w:rsid w:val="0006726A"/>
    <w:rsid w:val="0006742D"/>
    <w:rsid w:val="000678D7"/>
    <w:rsid w:val="00067B0C"/>
    <w:rsid w:val="00067B18"/>
    <w:rsid w:val="00067CC7"/>
    <w:rsid w:val="00067FBC"/>
    <w:rsid w:val="0007001E"/>
    <w:rsid w:val="00070136"/>
    <w:rsid w:val="00070296"/>
    <w:rsid w:val="000703B9"/>
    <w:rsid w:val="000703DC"/>
    <w:rsid w:val="000704FB"/>
    <w:rsid w:val="00070644"/>
    <w:rsid w:val="0007067B"/>
    <w:rsid w:val="0007076E"/>
    <w:rsid w:val="000707CB"/>
    <w:rsid w:val="00070AAD"/>
    <w:rsid w:val="00070B06"/>
    <w:rsid w:val="00070C99"/>
    <w:rsid w:val="00070D52"/>
    <w:rsid w:val="00070D53"/>
    <w:rsid w:val="00070E02"/>
    <w:rsid w:val="0007100D"/>
    <w:rsid w:val="0007105B"/>
    <w:rsid w:val="0007116E"/>
    <w:rsid w:val="0007145F"/>
    <w:rsid w:val="00071CB0"/>
    <w:rsid w:val="00071E13"/>
    <w:rsid w:val="00071FEC"/>
    <w:rsid w:val="00072078"/>
    <w:rsid w:val="000720A9"/>
    <w:rsid w:val="000725C2"/>
    <w:rsid w:val="00072912"/>
    <w:rsid w:val="00072A2D"/>
    <w:rsid w:val="00072F88"/>
    <w:rsid w:val="00072FC0"/>
    <w:rsid w:val="00073256"/>
    <w:rsid w:val="00073556"/>
    <w:rsid w:val="00073665"/>
    <w:rsid w:val="000739B0"/>
    <w:rsid w:val="00073C15"/>
    <w:rsid w:val="00073CBF"/>
    <w:rsid w:val="00073EC0"/>
    <w:rsid w:val="000740B8"/>
    <w:rsid w:val="0007416B"/>
    <w:rsid w:val="00074414"/>
    <w:rsid w:val="0007465F"/>
    <w:rsid w:val="00074879"/>
    <w:rsid w:val="0007499E"/>
    <w:rsid w:val="00074C80"/>
    <w:rsid w:val="00074D29"/>
    <w:rsid w:val="00074DD2"/>
    <w:rsid w:val="00074E05"/>
    <w:rsid w:val="0007500D"/>
    <w:rsid w:val="00075945"/>
    <w:rsid w:val="00075A73"/>
    <w:rsid w:val="00075DCB"/>
    <w:rsid w:val="00075E65"/>
    <w:rsid w:val="00075F86"/>
    <w:rsid w:val="00076035"/>
    <w:rsid w:val="00076061"/>
    <w:rsid w:val="000762CE"/>
    <w:rsid w:val="000764E6"/>
    <w:rsid w:val="00076855"/>
    <w:rsid w:val="00076C6F"/>
    <w:rsid w:val="00077090"/>
    <w:rsid w:val="00077652"/>
    <w:rsid w:val="000778F1"/>
    <w:rsid w:val="00077C59"/>
    <w:rsid w:val="00080005"/>
    <w:rsid w:val="00080303"/>
    <w:rsid w:val="000804FE"/>
    <w:rsid w:val="0008057A"/>
    <w:rsid w:val="000805E2"/>
    <w:rsid w:val="0008070D"/>
    <w:rsid w:val="000808FD"/>
    <w:rsid w:val="000809CD"/>
    <w:rsid w:val="00080AA1"/>
    <w:rsid w:val="00080AA4"/>
    <w:rsid w:val="00080D66"/>
    <w:rsid w:val="00080DE8"/>
    <w:rsid w:val="00080F83"/>
    <w:rsid w:val="000810E5"/>
    <w:rsid w:val="000812DB"/>
    <w:rsid w:val="00081604"/>
    <w:rsid w:val="0008167C"/>
    <w:rsid w:val="00081733"/>
    <w:rsid w:val="000817A8"/>
    <w:rsid w:val="00081880"/>
    <w:rsid w:val="00081958"/>
    <w:rsid w:val="00081A4B"/>
    <w:rsid w:val="00081CBB"/>
    <w:rsid w:val="00081EA5"/>
    <w:rsid w:val="00081FE5"/>
    <w:rsid w:val="000820EC"/>
    <w:rsid w:val="0008228E"/>
    <w:rsid w:val="00082318"/>
    <w:rsid w:val="000826A6"/>
    <w:rsid w:val="000826E4"/>
    <w:rsid w:val="00082905"/>
    <w:rsid w:val="00082A86"/>
    <w:rsid w:val="00082B37"/>
    <w:rsid w:val="00082CE2"/>
    <w:rsid w:val="00082D9D"/>
    <w:rsid w:val="000830AA"/>
    <w:rsid w:val="0008330D"/>
    <w:rsid w:val="00083455"/>
    <w:rsid w:val="00083641"/>
    <w:rsid w:val="000838E7"/>
    <w:rsid w:val="00083D7D"/>
    <w:rsid w:val="00083DF0"/>
    <w:rsid w:val="00083E31"/>
    <w:rsid w:val="000842AE"/>
    <w:rsid w:val="0008475D"/>
    <w:rsid w:val="00084B07"/>
    <w:rsid w:val="00084CBC"/>
    <w:rsid w:val="00084D99"/>
    <w:rsid w:val="00084E5F"/>
    <w:rsid w:val="00084EEA"/>
    <w:rsid w:val="00084F00"/>
    <w:rsid w:val="000852C9"/>
    <w:rsid w:val="0008545F"/>
    <w:rsid w:val="000854FA"/>
    <w:rsid w:val="00085502"/>
    <w:rsid w:val="000856F0"/>
    <w:rsid w:val="000858A4"/>
    <w:rsid w:val="000858FB"/>
    <w:rsid w:val="00085A03"/>
    <w:rsid w:val="00085C33"/>
    <w:rsid w:val="00085CF0"/>
    <w:rsid w:val="00085E1C"/>
    <w:rsid w:val="0008636D"/>
    <w:rsid w:val="000863A5"/>
    <w:rsid w:val="0008665E"/>
    <w:rsid w:val="00086718"/>
    <w:rsid w:val="00086814"/>
    <w:rsid w:val="000868FD"/>
    <w:rsid w:val="0008695F"/>
    <w:rsid w:val="00086993"/>
    <w:rsid w:val="000872AE"/>
    <w:rsid w:val="000872B1"/>
    <w:rsid w:val="00087378"/>
    <w:rsid w:val="000874FE"/>
    <w:rsid w:val="00087666"/>
    <w:rsid w:val="0008776D"/>
    <w:rsid w:val="0008795C"/>
    <w:rsid w:val="00087ABA"/>
    <w:rsid w:val="00087C11"/>
    <w:rsid w:val="000900CC"/>
    <w:rsid w:val="00090158"/>
    <w:rsid w:val="000901D8"/>
    <w:rsid w:val="00090224"/>
    <w:rsid w:val="0009022B"/>
    <w:rsid w:val="00090481"/>
    <w:rsid w:val="00090818"/>
    <w:rsid w:val="00090A22"/>
    <w:rsid w:val="00090C46"/>
    <w:rsid w:val="00090C48"/>
    <w:rsid w:val="00090CB4"/>
    <w:rsid w:val="00090D2D"/>
    <w:rsid w:val="00090DB5"/>
    <w:rsid w:val="00090EFC"/>
    <w:rsid w:val="00090FF7"/>
    <w:rsid w:val="0009101D"/>
    <w:rsid w:val="00091375"/>
    <w:rsid w:val="000913A2"/>
    <w:rsid w:val="00091555"/>
    <w:rsid w:val="00091B30"/>
    <w:rsid w:val="00091D99"/>
    <w:rsid w:val="00091DC2"/>
    <w:rsid w:val="00091F9D"/>
    <w:rsid w:val="00092061"/>
    <w:rsid w:val="00092073"/>
    <w:rsid w:val="00092160"/>
    <w:rsid w:val="000925DF"/>
    <w:rsid w:val="000925F3"/>
    <w:rsid w:val="000927A2"/>
    <w:rsid w:val="00092853"/>
    <w:rsid w:val="00092A0E"/>
    <w:rsid w:val="00092B6D"/>
    <w:rsid w:val="00092CE2"/>
    <w:rsid w:val="00092D08"/>
    <w:rsid w:val="00092E99"/>
    <w:rsid w:val="00092F07"/>
    <w:rsid w:val="0009304E"/>
    <w:rsid w:val="0009317E"/>
    <w:rsid w:val="000931E3"/>
    <w:rsid w:val="00093292"/>
    <w:rsid w:val="000932A6"/>
    <w:rsid w:val="0009333A"/>
    <w:rsid w:val="0009333B"/>
    <w:rsid w:val="000936BD"/>
    <w:rsid w:val="00093901"/>
    <w:rsid w:val="00093A4D"/>
    <w:rsid w:val="00093D46"/>
    <w:rsid w:val="00093DF6"/>
    <w:rsid w:val="00093E3D"/>
    <w:rsid w:val="00093EE6"/>
    <w:rsid w:val="00093F8D"/>
    <w:rsid w:val="00094006"/>
    <w:rsid w:val="00094190"/>
    <w:rsid w:val="00094330"/>
    <w:rsid w:val="00094791"/>
    <w:rsid w:val="000947FB"/>
    <w:rsid w:val="000949A3"/>
    <w:rsid w:val="00094C0A"/>
    <w:rsid w:val="00094C2D"/>
    <w:rsid w:val="00094EC5"/>
    <w:rsid w:val="00094F10"/>
    <w:rsid w:val="00094F39"/>
    <w:rsid w:val="0009540A"/>
    <w:rsid w:val="000954A8"/>
    <w:rsid w:val="0009552F"/>
    <w:rsid w:val="000955AB"/>
    <w:rsid w:val="00095628"/>
    <w:rsid w:val="000958B2"/>
    <w:rsid w:val="00095946"/>
    <w:rsid w:val="00095A12"/>
    <w:rsid w:val="00095CB4"/>
    <w:rsid w:val="00095ED8"/>
    <w:rsid w:val="0009620C"/>
    <w:rsid w:val="000964AD"/>
    <w:rsid w:val="0009669C"/>
    <w:rsid w:val="0009672B"/>
    <w:rsid w:val="0009674C"/>
    <w:rsid w:val="00096808"/>
    <w:rsid w:val="00096881"/>
    <w:rsid w:val="00096A58"/>
    <w:rsid w:val="00096AE9"/>
    <w:rsid w:val="00096B59"/>
    <w:rsid w:val="00096B7B"/>
    <w:rsid w:val="00096C24"/>
    <w:rsid w:val="00096DA9"/>
    <w:rsid w:val="00096E80"/>
    <w:rsid w:val="00097208"/>
    <w:rsid w:val="000974AD"/>
    <w:rsid w:val="000974C3"/>
    <w:rsid w:val="000976CD"/>
    <w:rsid w:val="00097972"/>
    <w:rsid w:val="00097C0F"/>
    <w:rsid w:val="00097E0A"/>
    <w:rsid w:val="00097E7A"/>
    <w:rsid w:val="000A01CF"/>
    <w:rsid w:val="000A0244"/>
    <w:rsid w:val="000A0486"/>
    <w:rsid w:val="000A04BE"/>
    <w:rsid w:val="000A050E"/>
    <w:rsid w:val="000A0519"/>
    <w:rsid w:val="000A0686"/>
    <w:rsid w:val="000A06A8"/>
    <w:rsid w:val="000A0822"/>
    <w:rsid w:val="000A0836"/>
    <w:rsid w:val="000A083F"/>
    <w:rsid w:val="000A0954"/>
    <w:rsid w:val="000A09DA"/>
    <w:rsid w:val="000A0B3E"/>
    <w:rsid w:val="000A0DC3"/>
    <w:rsid w:val="000A0EEC"/>
    <w:rsid w:val="000A0F9F"/>
    <w:rsid w:val="000A10DB"/>
    <w:rsid w:val="000A149E"/>
    <w:rsid w:val="000A17C4"/>
    <w:rsid w:val="000A1A76"/>
    <w:rsid w:val="000A1C3A"/>
    <w:rsid w:val="000A1D2A"/>
    <w:rsid w:val="000A2099"/>
    <w:rsid w:val="000A216F"/>
    <w:rsid w:val="000A2654"/>
    <w:rsid w:val="000A29AD"/>
    <w:rsid w:val="000A2A6E"/>
    <w:rsid w:val="000A2AE2"/>
    <w:rsid w:val="000A30DC"/>
    <w:rsid w:val="000A3101"/>
    <w:rsid w:val="000A3273"/>
    <w:rsid w:val="000A3612"/>
    <w:rsid w:val="000A3797"/>
    <w:rsid w:val="000A3801"/>
    <w:rsid w:val="000A39A2"/>
    <w:rsid w:val="000A39DF"/>
    <w:rsid w:val="000A3D09"/>
    <w:rsid w:val="000A3F87"/>
    <w:rsid w:val="000A408C"/>
    <w:rsid w:val="000A41DA"/>
    <w:rsid w:val="000A4463"/>
    <w:rsid w:val="000A460C"/>
    <w:rsid w:val="000A4620"/>
    <w:rsid w:val="000A46CD"/>
    <w:rsid w:val="000A491F"/>
    <w:rsid w:val="000A4C8D"/>
    <w:rsid w:val="000A506E"/>
    <w:rsid w:val="000A50AA"/>
    <w:rsid w:val="000A5143"/>
    <w:rsid w:val="000A52E9"/>
    <w:rsid w:val="000A52EF"/>
    <w:rsid w:val="000A5482"/>
    <w:rsid w:val="000A5516"/>
    <w:rsid w:val="000A5763"/>
    <w:rsid w:val="000A6038"/>
    <w:rsid w:val="000A6457"/>
    <w:rsid w:val="000A6588"/>
    <w:rsid w:val="000A6624"/>
    <w:rsid w:val="000A6889"/>
    <w:rsid w:val="000A6B1C"/>
    <w:rsid w:val="000A6B50"/>
    <w:rsid w:val="000A6EF0"/>
    <w:rsid w:val="000A6F14"/>
    <w:rsid w:val="000A752E"/>
    <w:rsid w:val="000A75D8"/>
    <w:rsid w:val="000A7728"/>
    <w:rsid w:val="000A7C8A"/>
    <w:rsid w:val="000A7E63"/>
    <w:rsid w:val="000B01F6"/>
    <w:rsid w:val="000B024D"/>
    <w:rsid w:val="000B0335"/>
    <w:rsid w:val="000B0336"/>
    <w:rsid w:val="000B0388"/>
    <w:rsid w:val="000B0489"/>
    <w:rsid w:val="000B068F"/>
    <w:rsid w:val="000B06EA"/>
    <w:rsid w:val="000B081C"/>
    <w:rsid w:val="000B08E9"/>
    <w:rsid w:val="000B0E20"/>
    <w:rsid w:val="000B110A"/>
    <w:rsid w:val="000B1174"/>
    <w:rsid w:val="000B11BD"/>
    <w:rsid w:val="000B1253"/>
    <w:rsid w:val="000B126D"/>
    <w:rsid w:val="000B14CB"/>
    <w:rsid w:val="000B163D"/>
    <w:rsid w:val="000B1731"/>
    <w:rsid w:val="000B17DD"/>
    <w:rsid w:val="000B193E"/>
    <w:rsid w:val="000B1BA8"/>
    <w:rsid w:val="000B1CBF"/>
    <w:rsid w:val="000B1CEC"/>
    <w:rsid w:val="000B1FB8"/>
    <w:rsid w:val="000B2114"/>
    <w:rsid w:val="000B2240"/>
    <w:rsid w:val="000B239C"/>
    <w:rsid w:val="000B23AF"/>
    <w:rsid w:val="000B25AD"/>
    <w:rsid w:val="000B25E5"/>
    <w:rsid w:val="000B2827"/>
    <w:rsid w:val="000B293E"/>
    <w:rsid w:val="000B2BA0"/>
    <w:rsid w:val="000B3042"/>
    <w:rsid w:val="000B3190"/>
    <w:rsid w:val="000B33D4"/>
    <w:rsid w:val="000B340A"/>
    <w:rsid w:val="000B354C"/>
    <w:rsid w:val="000B356A"/>
    <w:rsid w:val="000B3634"/>
    <w:rsid w:val="000B365B"/>
    <w:rsid w:val="000B36F8"/>
    <w:rsid w:val="000B380D"/>
    <w:rsid w:val="000B3A11"/>
    <w:rsid w:val="000B3A51"/>
    <w:rsid w:val="000B3B8D"/>
    <w:rsid w:val="000B3C75"/>
    <w:rsid w:val="000B3DC9"/>
    <w:rsid w:val="000B3E52"/>
    <w:rsid w:val="000B3E68"/>
    <w:rsid w:val="000B3F53"/>
    <w:rsid w:val="000B40D8"/>
    <w:rsid w:val="000B4131"/>
    <w:rsid w:val="000B41CD"/>
    <w:rsid w:val="000B44C7"/>
    <w:rsid w:val="000B49AA"/>
    <w:rsid w:val="000B49FC"/>
    <w:rsid w:val="000B4C51"/>
    <w:rsid w:val="000B4D56"/>
    <w:rsid w:val="000B4D98"/>
    <w:rsid w:val="000B519C"/>
    <w:rsid w:val="000B5359"/>
    <w:rsid w:val="000B5B72"/>
    <w:rsid w:val="000B5C22"/>
    <w:rsid w:val="000B5C7B"/>
    <w:rsid w:val="000B6201"/>
    <w:rsid w:val="000B623F"/>
    <w:rsid w:val="000B644E"/>
    <w:rsid w:val="000B6458"/>
    <w:rsid w:val="000B64A1"/>
    <w:rsid w:val="000B66F5"/>
    <w:rsid w:val="000B6991"/>
    <w:rsid w:val="000B6A31"/>
    <w:rsid w:val="000B6EBF"/>
    <w:rsid w:val="000B71C7"/>
    <w:rsid w:val="000B74B9"/>
    <w:rsid w:val="000B7541"/>
    <w:rsid w:val="000B7627"/>
    <w:rsid w:val="000B7650"/>
    <w:rsid w:val="000B7900"/>
    <w:rsid w:val="000C0033"/>
    <w:rsid w:val="000C01B5"/>
    <w:rsid w:val="000C03D0"/>
    <w:rsid w:val="000C0537"/>
    <w:rsid w:val="000C054B"/>
    <w:rsid w:val="000C0903"/>
    <w:rsid w:val="000C0991"/>
    <w:rsid w:val="000C09A8"/>
    <w:rsid w:val="000C0BD2"/>
    <w:rsid w:val="000C0CFE"/>
    <w:rsid w:val="000C0D76"/>
    <w:rsid w:val="000C0D9B"/>
    <w:rsid w:val="000C1003"/>
    <w:rsid w:val="000C10E1"/>
    <w:rsid w:val="000C1162"/>
    <w:rsid w:val="000C11D3"/>
    <w:rsid w:val="000C1A59"/>
    <w:rsid w:val="000C1AEB"/>
    <w:rsid w:val="000C1AED"/>
    <w:rsid w:val="000C1C1E"/>
    <w:rsid w:val="000C1D40"/>
    <w:rsid w:val="000C1E30"/>
    <w:rsid w:val="000C1EFB"/>
    <w:rsid w:val="000C1F1B"/>
    <w:rsid w:val="000C2014"/>
    <w:rsid w:val="000C22CD"/>
    <w:rsid w:val="000C2487"/>
    <w:rsid w:val="000C257B"/>
    <w:rsid w:val="000C26CC"/>
    <w:rsid w:val="000C27EB"/>
    <w:rsid w:val="000C2932"/>
    <w:rsid w:val="000C2A6B"/>
    <w:rsid w:val="000C30EE"/>
    <w:rsid w:val="000C338C"/>
    <w:rsid w:val="000C347D"/>
    <w:rsid w:val="000C34E0"/>
    <w:rsid w:val="000C36A4"/>
    <w:rsid w:val="000C37B8"/>
    <w:rsid w:val="000C3A31"/>
    <w:rsid w:val="000C3B8C"/>
    <w:rsid w:val="000C3E03"/>
    <w:rsid w:val="000C3E1A"/>
    <w:rsid w:val="000C402C"/>
    <w:rsid w:val="000C4038"/>
    <w:rsid w:val="000C4076"/>
    <w:rsid w:val="000C407F"/>
    <w:rsid w:val="000C41F1"/>
    <w:rsid w:val="000C44B4"/>
    <w:rsid w:val="000C4689"/>
    <w:rsid w:val="000C4949"/>
    <w:rsid w:val="000C4E46"/>
    <w:rsid w:val="000C4E6A"/>
    <w:rsid w:val="000C4F08"/>
    <w:rsid w:val="000C4F79"/>
    <w:rsid w:val="000C50A1"/>
    <w:rsid w:val="000C5153"/>
    <w:rsid w:val="000C5230"/>
    <w:rsid w:val="000C5459"/>
    <w:rsid w:val="000C5506"/>
    <w:rsid w:val="000C5519"/>
    <w:rsid w:val="000C56C1"/>
    <w:rsid w:val="000C5826"/>
    <w:rsid w:val="000C5837"/>
    <w:rsid w:val="000C5A52"/>
    <w:rsid w:val="000C5AA4"/>
    <w:rsid w:val="000C5B47"/>
    <w:rsid w:val="000C5DA0"/>
    <w:rsid w:val="000C60C7"/>
    <w:rsid w:val="000C6713"/>
    <w:rsid w:val="000C671C"/>
    <w:rsid w:val="000C6798"/>
    <w:rsid w:val="000C6936"/>
    <w:rsid w:val="000C69D3"/>
    <w:rsid w:val="000C6A9B"/>
    <w:rsid w:val="000C6B56"/>
    <w:rsid w:val="000C6C62"/>
    <w:rsid w:val="000C6CCC"/>
    <w:rsid w:val="000C6CCE"/>
    <w:rsid w:val="000C70BC"/>
    <w:rsid w:val="000C74FD"/>
    <w:rsid w:val="000C75EF"/>
    <w:rsid w:val="000C76D3"/>
    <w:rsid w:val="000C78F3"/>
    <w:rsid w:val="000C795B"/>
    <w:rsid w:val="000C7DFC"/>
    <w:rsid w:val="000D0046"/>
    <w:rsid w:val="000D0485"/>
    <w:rsid w:val="000D048C"/>
    <w:rsid w:val="000D07F9"/>
    <w:rsid w:val="000D0A13"/>
    <w:rsid w:val="000D0A2A"/>
    <w:rsid w:val="000D0A81"/>
    <w:rsid w:val="000D0B42"/>
    <w:rsid w:val="000D0B74"/>
    <w:rsid w:val="000D127F"/>
    <w:rsid w:val="000D1593"/>
    <w:rsid w:val="000D16E7"/>
    <w:rsid w:val="000D1781"/>
    <w:rsid w:val="000D17D0"/>
    <w:rsid w:val="000D1AA4"/>
    <w:rsid w:val="000D1D2C"/>
    <w:rsid w:val="000D1F27"/>
    <w:rsid w:val="000D20A1"/>
    <w:rsid w:val="000D211B"/>
    <w:rsid w:val="000D21AD"/>
    <w:rsid w:val="000D222E"/>
    <w:rsid w:val="000D223F"/>
    <w:rsid w:val="000D2480"/>
    <w:rsid w:val="000D251E"/>
    <w:rsid w:val="000D2555"/>
    <w:rsid w:val="000D2804"/>
    <w:rsid w:val="000D2C26"/>
    <w:rsid w:val="000D2CC9"/>
    <w:rsid w:val="000D309A"/>
    <w:rsid w:val="000D30C4"/>
    <w:rsid w:val="000D31EA"/>
    <w:rsid w:val="000D32D2"/>
    <w:rsid w:val="000D3369"/>
    <w:rsid w:val="000D34CC"/>
    <w:rsid w:val="000D34E7"/>
    <w:rsid w:val="000D3570"/>
    <w:rsid w:val="000D359D"/>
    <w:rsid w:val="000D363E"/>
    <w:rsid w:val="000D3824"/>
    <w:rsid w:val="000D3CE6"/>
    <w:rsid w:val="000D448B"/>
    <w:rsid w:val="000D4614"/>
    <w:rsid w:val="000D464D"/>
    <w:rsid w:val="000D468B"/>
    <w:rsid w:val="000D49B4"/>
    <w:rsid w:val="000D4A92"/>
    <w:rsid w:val="000D4F20"/>
    <w:rsid w:val="000D4F93"/>
    <w:rsid w:val="000D50C0"/>
    <w:rsid w:val="000D53F0"/>
    <w:rsid w:val="000D5407"/>
    <w:rsid w:val="000D558E"/>
    <w:rsid w:val="000D5726"/>
    <w:rsid w:val="000D5844"/>
    <w:rsid w:val="000D5925"/>
    <w:rsid w:val="000D5BCD"/>
    <w:rsid w:val="000D5C8D"/>
    <w:rsid w:val="000D5E9C"/>
    <w:rsid w:val="000D5F8F"/>
    <w:rsid w:val="000D5FA4"/>
    <w:rsid w:val="000D60E9"/>
    <w:rsid w:val="000D60EF"/>
    <w:rsid w:val="000D65A3"/>
    <w:rsid w:val="000D6876"/>
    <w:rsid w:val="000D69E0"/>
    <w:rsid w:val="000D6A6C"/>
    <w:rsid w:val="000D6BCA"/>
    <w:rsid w:val="000D6C86"/>
    <w:rsid w:val="000D6C8F"/>
    <w:rsid w:val="000D6CC9"/>
    <w:rsid w:val="000D6E24"/>
    <w:rsid w:val="000D6E7E"/>
    <w:rsid w:val="000D6F4E"/>
    <w:rsid w:val="000D70E5"/>
    <w:rsid w:val="000D73F1"/>
    <w:rsid w:val="000D7416"/>
    <w:rsid w:val="000D7460"/>
    <w:rsid w:val="000D74B6"/>
    <w:rsid w:val="000D7616"/>
    <w:rsid w:val="000D7944"/>
    <w:rsid w:val="000D79BB"/>
    <w:rsid w:val="000D7A04"/>
    <w:rsid w:val="000D7BE9"/>
    <w:rsid w:val="000D7C5D"/>
    <w:rsid w:val="000D7F45"/>
    <w:rsid w:val="000E01FE"/>
    <w:rsid w:val="000E03EE"/>
    <w:rsid w:val="000E045D"/>
    <w:rsid w:val="000E04DC"/>
    <w:rsid w:val="000E0568"/>
    <w:rsid w:val="000E06B2"/>
    <w:rsid w:val="000E09A3"/>
    <w:rsid w:val="000E0C3D"/>
    <w:rsid w:val="000E0D76"/>
    <w:rsid w:val="000E0EA6"/>
    <w:rsid w:val="000E0F38"/>
    <w:rsid w:val="000E0FFB"/>
    <w:rsid w:val="000E11C6"/>
    <w:rsid w:val="000E12AA"/>
    <w:rsid w:val="000E136B"/>
    <w:rsid w:val="000E136F"/>
    <w:rsid w:val="000E13FE"/>
    <w:rsid w:val="000E19B3"/>
    <w:rsid w:val="000E1E03"/>
    <w:rsid w:val="000E1F3B"/>
    <w:rsid w:val="000E2089"/>
    <w:rsid w:val="000E2685"/>
    <w:rsid w:val="000E26E0"/>
    <w:rsid w:val="000E2708"/>
    <w:rsid w:val="000E2723"/>
    <w:rsid w:val="000E2AF6"/>
    <w:rsid w:val="000E2D12"/>
    <w:rsid w:val="000E2EBC"/>
    <w:rsid w:val="000E302E"/>
    <w:rsid w:val="000E3068"/>
    <w:rsid w:val="000E324B"/>
    <w:rsid w:val="000E33C8"/>
    <w:rsid w:val="000E3403"/>
    <w:rsid w:val="000E35F6"/>
    <w:rsid w:val="000E364C"/>
    <w:rsid w:val="000E3885"/>
    <w:rsid w:val="000E3A0C"/>
    <w:rsid w:val="000E3AC9"/>
    <w:rsid w:val="000E3D97"/>
    <w:rsid w:val="000E3E6D"/>
    <w:rsid w:val="000E3EFD"/>
    <w:rsid w:val="000E4319"/>
    <w:rsid w:val="000E47D9"/>
    <w:rsid w:val="000E4827"/>
    <w:rsid w:val="000E4844"/>
    <w:rsid w:val="000E49B9"/>
    <w:rsid w:val="000E4A4D"/>
    <w:rsid w:val="000E4A90"/>
    <w:rsid w:val="000E4ADB"/>
    <w:rsid w:val="000E4C69"/>
    <w:rsid w:val="000E4D66"/>
    <w:rsid w:val="000E4DC5"/>
    <w:rsid w:val="000E4F16"/>
    <w:rsid w:val="000E514E"/>
    <w:rsid w:val="000E5463"/>
    <w:rsid w:val="000E5464"/>
    <w:rsid w:val="000E55AB"/>
    <w:rsid w:val="000E5806"/>
    <w:rsid w:val="000E590A"/>
    <w:rsid w:val="000E5BE4"/>
    <w:rsid w:val="000E5D48"/>
    <w:rsid w:val="000E5D58"/>
    <w:rsid w:val="000E606E"/>
    <w:rsid w:val="000E6153"/>
    <w:rsid w:val="000E61C6"/>
    <w:rsid w:val="000E6263"/>
    <w:rsid w:val="000E63BE"/>
    <w:rsid w:val="000E647F"/>
    <w:rsid w:val="000E649C"/>
    <w:rsid w:val="000E6A96"/>
    <w:rsid w:val="000E6B38"/>
    <w:rsid w:val="000E6BE0"/>
    <w:rsid w:val="000E6CDD"/>
    <w:rsid w:val="000E71DB"/>
    <w:rsid w:val="000E76E3"/>
    <w:rsid w:val="000E77DC"/>
    <w:rsid w:val="000E7840"/>
    <w:rsid w:val="000E7860"/>
    <w:rsid w:val="000E79CF"/>
    <w:rsid w:val="000E7B2A"/>
    <w:rsid w:val="000E7BA1"/>
    <w:rsid w:val="000E7EEB"/>
    <w:rsid w:val="000E7EFB"/>
    <w:rsid w:val="000E7FE4"/>
    <w:rsid w:val="000F00FB"/>
    <w:rsid w:val="000F0137"/>
    <w:rsid w:val="000F01F1"/>
    <w:rsid w:val="000F0719"/>
    <w:rsid w:val="000F0973"/>
    <w:rsid w:val="000F0A57"/>
    <w:rsid w:val="000F0C30"/>
    <w:rsid w:val="000F0C53"/>
    <w:rsid w:val="000F0C5A"/>
    <w:rsid w:val="000F0CA0"/>
    <w:rsid w:val="000F10D1"/>
    <w:rsid w:val="000F1145"/>
    <w:rsid w:val="000F12E9"/>
    <w:rsid w:val="000F12F5"/>
    <w:rsid w:val="000F138C"/>
    <w:rsid w:val="000F1954"/>
    <w:rsid w:val="000F1A33"/>
    <w:rsid w:val="000F1AB5"/>
    <w:rsid w:val="000F1D05"/>
    <w:rsid w:val="000F1F77"/>
    <w:rsid w:val="000F21EB"/>
    <w:rsid w:val="000F243D"/>
    <w:rsid w:val="000F2707"/>
    <w:rsid w:val="000F2753"/>
    <w:rsid w:val="000F2812"/>
    <w:rsid w:val="000F2AEF"/>
    <w:rsid w:val="000F31E2"/>
    <w:rsid w:val="000F32AB"/>
    <w:rsid w:val="000F3333"/>
    <w:rsid w:val="000F3554"/>
    <w:rsid w:val="000F3AA2"/>
    <w:rsid w:val="000F3AE3"/>
    <w:rsid w:val="000F4066"/>
    <w:rsid w:val="000F4165"/>
    <w:rsid w:val="000F419A"/>
    <w:rsid w:val="000F42C5"/>
    <w:rsid w:val="000F42DC"/>
    <w:rsid w:val="000F44DB"/>
    <w:rsid w:val="000F452E"/>
    <w:rsid w:val="000F468D"/>
    <w:rsid w:val="000F47C8"/>
    <w:rsid w:val="000F4819"/>
    <w:rsid w:val="000F4C97"/>
    <w:rsid w:val="000F4DA6"/>
    <w:rsid w:val="000F4E77"/>
    <w:rsid w:val="000F5013"/>
    <w:rsid w:val="000F503D"/>
    <w:rsid w:val="000F51F1"/>
    <w:rsid w:val="000F526C"/>
    <w:rsid w:val="000F564B"/>
    <w:rsid w:val="000F58FC"/>
    <w:rsid w:val="000F598C"/>
    <w:rsid w:val="000F5F08"/>
    <w:rsid w:val="000F5F98"/>
    <w:rsid w:val="000F6221"/>
    <w:rsid w:val="000F65D0"/>
    <w:rsid w:val="000F6655"/>
    <w:rsid w:val="000F66EE"/>
    <w:rsid w:val="000F6713"/>
    <w:rsid w:val="000F68C8"/>
    <w:rsid w:val="000F6AAC"/>
    <w:rsid w:val="000F6D07"/>
    <w:rsid w:val="000F6E54"/>
    <w:rsid w:val="000F72DF"/>
    <w:rsid w:val="000F74A7"/>
    <w:rsid w:val="000F74DE"/>
    <w:rsid w:val="000F7514"/>
    <w:rsid w:val="000F753E"/>
    <w:rsid w:val="000F7567"/>
    <w:rsid w:val="000F7DF5"/>
    <w:rsid w:val="00100069"/>
    <w:rsid w:val="0010023F"/>
    <w:rsid w:val="001003B1"/>
    <w:rsid w:val="001007BC"/>
    <w:rsid w:val="001008D4"/>
    <w:rsid w:val="00100949"/>
    <w:rsid w:val="00100A7D"/>
    <w:rsid w:val="00100C7A"/>
    <w:rsid w:val="00100DF3"/>
    <w:rsid w:val="00100F73"/>
    <w:rsid w:val="00101190"/>
    <w:rsid w:val="00101279"/>
    <w:rsid w:val="00101289"/>
    <w:rsid w:val="00101328"/>
    <w:rsid w:val="00101671"/>
    <w:rsid w:val="001018B3"/>
    <w:rsid w:val="00101BC7"/>
    <w:rsid w:val="00101DD5"/>
    <w:rsid w:val="00102087"/>
    <w:rsid w:val="00102383"/>
    <w:rsid w:val="00102446"/>
    <w:rsid w:val="00102469"/>
    <w:rsid w:val="0010264E"/>
    <w:rsid w:val="0010267A"/>
    <w:rsid w:val="001026D8"/>
    <w:rsid w:val="0010271E"/>
    <w:rsid w:val="001027A1"/>
    <w:rsid w:val="00102903"/>
    <w:rsid w:val="001029A8"/>
    <w:rsid w:val="00102A22"/>
    <w:rsid w:val="00102C1C"/>
    <w:rsid w:val="00102E4D"/>
    <w:rsid w:val="00102F3C"/>
    <w:rsid w:val="00102F89"/>
    <w:rsid w:val="0010302C"/>
    <w:rsid w:val="00103417"/>
    <w:rsid w:val="00103430"/>
    <w:rsid w:val="001035BF"/>
    <w:rsid w:val="00103693"/>
    <w:rsid w:val="00103919"/>
    <w:rsid w:val="00103CE6"/>
    <w:rsid w:val="00103D79"/>
    <w:rsid w:val="00103E36"/>
    <w:rsid w:val="00103F62"/>
    <w:rsid w:val="00103F87"/>
    <w:rsid w:val="00103FFA"/>
    <w:rsid w:val="00104154"/>
    <w:rsid w:val="00104456"/>
    <w:rsid w:val="00104574"/>
    <w:rsid w:val="001045ED"/>
    <w:rsid w:val="0010479F"/>
    <w:rsid w:val="001047C4"/>
    <w:rsid w:val="001047E7"/>
    <w:rsid w:val="001048F7"/>
    <w:rsid w:val="00104979"/>
    <w:rsid w:val="00104A6D"/>
    <w:rsid w:val="00104DF8"/>
    <w:rsid w:val="00104E8D"/>
    <w:rsid w:val="00104FB2"/>
    <w:rsid w:val="001050BC"/>
    <w:rsid w:val="00105322"/>
    <w:rsid w:val="001053E6"/>
    <w:rsid w:val="00105813"/>
    <w:rsid w:val="001059C2"/>
    <w:rsid w:val="00105A32"/>
    <w:rsid w:val="00105A58"/>
    <w:rsid w:val="00105B51"/>
    <w:rsid w:val="00105B8E"/>
    <w:rsid w:val="00105BC3"/>
    <w:rsid w:val="00105D7E"/>
    <w:rsid w:val="00105F3D"/>
    <w:rsid w:val="00105F80"/>
    <w:rsid w:val="0010605B"/>
    <w:rsid w:val="001060C9"/>
    <w:rsid w:val="0010611F"/>
    <w:rsid w:val="001065C4"/>
    <w:rsid w:val="0010662C"/>
    <w:rsid w:val="0010662F"/>
    <w:rsid w:val="0010670C"/>
    <w:rsid w:val="001069ED"/>
    <w:rsid w:val="00106B12"/>
    <w:rsid w:val="00106CCA"/>
    <w:rsid w:val="00106F88"/>
    <w:rsid w:val="00106FD5"/>
    <w:rsid w:val="0010704B"/>
    <w:rsid w:val="00107087"/>
    <w:rsid w:val="0010720E"/>
    <w:rsid w:val="0010792A"/>
    <w:rsid w:val="00107B1E"/>
    <w:rsid w:val="00107B81"/>
    <w:rsid w:val="00107ED0"/>
    <w:rsid w:val="001105A7"/>
    <w:rsid w:val="0011077A"/>
    <w:rsid w:val="001107F1"/>
    <w:rsid w:val="00110917"/>
    <w:rsid w:val="00110EBC"/>
    <w:rsid w:val="00110F32"/>
    <w:rsid w:val="00110FF5"/>
    <w:rsid w:val="001110D4"/>
    <w:rsid w:val="00111116"/>
    <w:rsid w:val="0011116F"/>
    <w:rsid w:val="00111277"/>
    <w:rsid w:val="00111292"/>
    <w:rsid w:val="001112CF"/>
    <w:rsid w:val="00111560"/>
    <w:rsid w:val="0011158D"/>
    <w:rsid w:val="00111A14"/>
    <w:rsid w:val="00111C31"/>
    <w:rsid w:val="00111D15"/>
    <w:rsid w:val="00111D66"/>
    <w:rsid w:val="00111E2D"/>
    <w:rsid w:val="00111E9C"/>
    <w:rsid w:val="00111F31"/>
    <w:rsid w:val="00112052"/>
    <w:rsid w:val="00112578"/>
    <w:rsid w:val="00112728"/>
    <w:rsid w:val="0011284A"/>
    <w:rsid w:val="00112A4D"/>
    <w:rsid w:val="00112B93"/>
    <w:rsid w:val="00112F88"/>
    <w:rsid w:val="0011310E"/>
    <w:rsid w:val="00113222"/>
    <w:rsid w:val="0011365F"/>
    <w:rsid w:val="001137D5"/>
    <w:rsid w:val="00113884"/>
    <w:rsid w:val="0011389E"/>
    <w:rsid w:val="00113AFB"/>
    <w:rsid w:val="00113BA1"/>
    <w:rsid w:val="00113BC6"/>
    <w:rsid w:val="00113CDF"/>
    <w:rsid w:val="00113D53"/>
    <w:rsid w:val="00113DC2"/>
    <w:rsid w:val="00114496"/>
    <w:rsid w:val="001145CC"/>
    <w:rsid w:val="00114744"/>
    <w:rsid w:val="001147C0"/>
    <w:rsid w:val="001147CB"/>
    <w:rsid w:val="00114C14"/>
    <w:rsid w:val="00114C2D"/>
    <w:rsid w:val="00114C71"/>
    <w:rsid w:val="00114D0A"/>
    <w:rsid w:val="00114F5C"/>
    <w:rsid w:val="00115049"/>
    <w:rsid w:val="00115174"/>
    <w:rsid w:val="00115292"/>
    <w:rsid w:val="001152BE"/>
    <w:rsid w:val="001153E3"/>
    <w:rsid w:val="00115564"/>
    <w:rsid w:val="0011581B"/>
    <w:rsid w:val="00115887"/>
    <w:rsid w:val="001158D1"/>
    <w:rsid w:val="00115911"/>
    <w:rsid w:val="00115A38"/>
    <w:rsid w:val="00115A93"/>
    <w:rsid w:val="00115CD5"/>
    <w:rsid w:val="00115DB7"/>
    <w:rsid w:val="00115DD3"/>
    <w:rsid w:val="001163CF"/>
    <w:rsid w:val="00116720"/>
    <w:rsid w:val="00116745"/>
    <w:rsid w:val="00116851"/>
    <w:rsid w:val="00116996"/>
    <w:rsid w:val="00116A39"/>
    <w:rsid w:val="00116B31"/>
    <w:rsid w:val="00116B7A"/>
    <w:rsid w:val="00116B8E"/>
    <w:rsid w:val="00116DDA"/>
    <w:rsid w:val="00117287"/>
    <w:rsid w:val="001173A4"/>
    <w:rsid w:val="001174AC"/>
    <w:rsid w:val="00117726"/>
    <w:rsid w:val="00117C4E"/>
    <w:rsid w:val="00117CE1"/>
    <w:rsid w:val="00117D37"/>
    <w:rsid w:val="00117DA7"/>
    <w:rsid w:val="00117EE2"/>
    <w:rsid w:val="001200F0"/>
    <w:rsid w:val="00120117"/>
    <w:rsid w:val="0012040A"/>
    <w:rsid w:val="00120434"/>
    <w:rsid w:val="001204C1"/>
    <w:rsid w:val="00120529"/>
    <w:rsid w:val="00120587"/>
    <w:rsid w:val="00120790"/>
    <w:rsid w:val="00120904"/>
    <w:rsid w:val="00120AA5"/>
    <w:rsid w:val="00120B98"/>
    <w:rsid w:val="00120DC6"/>
    <w:rsid w:val="00121082"/>
    <w:rsid w:val="001210C5"/>
    <w:rsid w:val="001211AF"/>
    <w:rsid w:val="0012131E"/>
    <w:rsid w:val="001213E7"/>
    <w:rsid w:val="0012147F"/>
    <w:rsid w:val="0012151E"/>
    <w:rsid w:val="00121719"/>
    <w:rsid w:val="00121C0D"/>
    <w:rsid w:val="00121CC5"/>
    <w:rsid w:val="00121CC9"/>
    <w:rsid w:val="00121DEB"/>
    <w:rsid w:val="00121F2B"/>
    <w:rsid w:val="001220F0"/>
    <w:rsid w:val="0012218B"/>
    <w:rsid w:val="001225E1"/>
    <w:rsid w:val="0012263B"/>
    <w:rsid w:val="00122B35"/>
    <w:rsid w:val="00122B6C"/>
    <w:rsid w:val="00122BE8"/>
    <w:rsid w:val="00122D7D"/>
    <w:rsid w:val="001233B4"/>
    <w:rsid w:val="0012348F"/>
    <w:rsid w:val="001234C0"/>
    <w:rsid w:val="00123889"/>
    <w:rsid w:val="001238C2"/>
    <w:rsid w:val="00123990"/>
    <w:rsid w:val="001239C6"/>
    <w:rsid w:val="00123A2B"/>
    <w:rsid w:val="00123A8D"/>
    <w:rsid w:val="00123B35"/>
    <w:rsid w:val="00123B9B"/>
    <w:rsid w:val="00123C38"/>
    <w:rsid w:val="0012431E"/>
    <w:rsid w:val="00124424"/>
    <w:rsid w:val="00124623"/>
    <w:rsid w:val="00124657"/>
    <w:rsid w:val="001247FF"/>
    <w:rsid w:val="001248CC"/>
    <w:rsid w:val="00124DC1"/>
    <w:rsid w:val="00124E3A"/>
    <w:rsid w:val="00124F97"/>
    <w:rsid w:val="0012501A"/>
    <w:rsid w:val="001250F0"/>
    <w:rsid w:val="001256DD"/>
    <w:rsid w:val="0012570A"/>
    <w:rsid w:val="001257DA"/>
    <w:rsid w:val="00125B12"/>
    <w:rsid w:val="00125CC1"/>
    <w:rsid w:val="00125D93"/>
    <w:rsid w:val="00125E9A"/>
    <w:rsid w:val="00125F00"/>
    <w:rsid w:val="00126008"/>
    <w:rsid w:val="00126218"/>
    <w:rsid w:val="00126405"/>
    <w:rsid w:val="00126512"/>
    <w:rsid w:val="00126677"/>
    <w:rsid w:val="001267B9"/>
    <w:rsid w:val="00126EF1"/>
    <w:rsid w:val="00127062"/>
    <w:rsid w:val="00127515"/>
    <w:rsid w:val="001275DB"/>
    <w:rsid w:val="00127676"/>
    <w:rsid w:val="00127706"/>
    <w:rsid w:val="001277E9"/>
    <w:rsid w:val="00127898"/>
    <w:rsid w:val="001279B1"/>
    <w:rsid w:val="00127B02"/>
    <w:rsid w:val="00127C32"/>
    <w:rsid w:val="0013000E"/>
    <w:rsid w:val="001300CC"/>
    <w:rsid w:val="0013052A"/>
    <w:rsid w:val="00130614"/>
    <w:rsid w:val="00130677"/>
    <w:rsid w:val="0013073C"/>
    <w:rsid w:val="00130793"/>
    <w:rsid w:val="001308E9"/>
    <w:rsid w:val="001309AD"/>
    <w:rsid w:val="00130AC2"/>
    <w:rsid w:val="00130CCF"/>
    <w:rsid w:val="00130EA1"/>
    <w:rsid w:val="00131088"/>
    <w:rsid w:val="001310B6"/>
    <w:rsid w:val="001311FB"/>
    <w:rsid w:val="001312E6"/>
    <w:rsid w:val="0013160C"/>
    <w:rsid w:val="0013161E"/>
    <w:rsid w:val="001316B7"/>
    <w:rsid w:val="00131B65"/>
    <w:rsid w:val="00131BE9"/>
    <w:rsid w:val="00131C12"/>
    <w:rsid w:val="00131C4F"/>
    <w:rsid w:val="00131D1A"/>
    <w:rsid w:val="00131E2E"/>
    <w:rsid w:val="001321DE"/>
    <w:rsid w:val="00132224"/>
    <w:rsid w:val="0013225E"/>
    <w:rsid w:val="0013255D"/>
    <w:rsid w:val="0013271B"/>
    <w:rsid w:val="0013274E"/>
    <w:rsid w:val="00132B09"/>
    <w:rsid w:val="00132BCD"/>
    <w:rsid w:val="00132C45"/>
    <w:rsid w:val="00132E1F"/>
    <w:rsid w:val="00132F8E"/>
    <w:rsid w:val="0013348A"/>
    <w:rsid w:val="001336C6"/>
    <w:rsid w:val="00133958"/>
    <w:rsid w:val="00133ABB"/>
    <w:rsid w:val="00133B1A"/>
    <w:rsid w:val="00133EEF"/>
    <w:rsid w:val="0013409A"/>
    <w:rsid w:val="0013417D"/>
    <w:rsid w:val="001341F6"/>
    <w:rsid w:val="0013420F"/>
    <w:rsid w:val="00134586"/>
    <w:rsid w:val="0013465D"/>
    <w:rsid w:val="0013474E"/>
    <w:rsid w:val="001348A4"/>
    <w:rsid w:val="001348EF"/>
    <w:rsid w:val="00134904"/>
    <w:rsid w:val="00134973"/>
    <w:rsid w:val="00134A43"/>
    <w:rsid w:val="00134BD8"/>
    <w:rsid w:val="0013526C"/>
    <w:rsid w:val="001352E4"/>
    <w:rsid w:val="00135385"/>
    <w:rsid w:val="001353C9"/>
    <w:rsid w:val="001355CE"/>
    <w:rsid w:val="001356E7"/>
    <w:rsid w:val="00135779"/>
    <w:rsid w:val="00135AEE"/>
    <w:rsid w:val="00135BAE"/>
    <w:rsid w:val="00135BD1"/>
    <w:rsid w:val="00135D9E"/>
    <w:rsid w:val="00135F48"/>
    <w:rsid w:val="001362A0"/>
    <w:rsid w:val="0013630D"/>
    <w:rsid w:val="0013633A"/>
    <w:rsid w:val="001363B6"/>
    <w:rsid w:val="00136418"/>
    <w:rsid w:val="00136563"/>
    <w:rsid w:val="0013674B"/>
    <w:rsid w:val="0013674F"/>
    <w:rsid w:val="00136A2C"/>
    <w:rsid w:val="00136AA5"/>
    <w:rsid w:val="00136C5C"/>
    <w:rsid w:val="00136E31"/>
    <w:rsid w:val="00136F78"/>
    <w:rsid w:val="00136FE9"/>
    <w:rsid w:val="001372D4"/>
    <w:rsid w:val="001374D6"/>
    <w:rsid w:val="00137698"/>
    <w:rsid w:val="0013792E"/>
    <w:rsid w:val="001401FC"/>
    <w:rsid w:val="00140245"/>
    <w:rsid w:val="00140280"/>
    <w:rsid w:val="00140295"/>
    <w:rsid w:val="00140455"/>
    <w:rsid w:val="001408BB"/>
    <w:rsid w:val="001408C0"/>
    <w:rsid w:val="00140B45"/>
    <w:rsid w:val="00140C5F"/>
    <w:rsid w:val="001410E0"/>
    <w:rsid w:val="00141181"/>
    <w:rsid w:val="001414B6"/>
    <w:rsid w:val="00141856"/>
    <w:rsid w:val="00141981"/>
    <w:rsid w:val="00141A40"/>
    <w:rsid w:val="00141AC0"/>
    <w:rsid w:val="00141B61"/>
    <w:rsid w:val="00141C1C"/>
    <w:rsid w:val="00141C88"/>
    <w:rsid w:val="001420B0"/>
    <w:rsid w:val="001420BA"/>
    <w:rsid w:val="0014211E"/>
    <w:rsid w:val="0014213D"/>
    <w:rsid w:val="001425B6"/>
    <w:rsid w:val="0014294B"/>
    <w:rsid w:val="00142D43"/>
    <w:rsid w:val="00142D53"/>
    <w:rsid w:val="00142E08"/>
    <w:rsid w:val="00142E43"/>
    <w:rsid w:val="00142E6A"/>
    <w:rsid w:val="00142ED2"/>
    <w:rsid w:val="0014314E"/>
    <w:rsid w:val="00143218"/>
    <w:rsid w:val="001432AC"/>
    <w:rsid w:val="0014331F"/>
    <w:rsid w:val="0014369C"/>
    <w:rsid w:val="001437BA"/>
    <w:rsid w:val="0014399A"/>
    <w:rsid w:val="00143A36"/>
    <w:rsid w:val="00143A6C"/>
    <w:rsid w:val="00143F00"/>
    <w:rsid w:val="00144044"/>
    <w:rsid w:val="001443DA"/>
    <w:rsid w:val="00144816"/>
    <w:rsid w:val="00144925"/>
    <w:rsid w:val="00144999"/>
    <w:rsid w:val="00144BB4"/>
    <w:rsid w:val="001450B9"/>
    <w:rsid w:val="00145314"/>
    <w:rsid w:val="00145519"/>
    <w:rsid w:val="001457E2"/>
    <w:rsid w:val="00145940"/>
    <w:rsid w:val="00145A61"/>
    <w:rsid w:val="00145EC9"/>
    <w:rsid w:val="00145F11"/>
    <w:rsid w:val="001461FF"/>
    <w:rsid w:val="001463BE"/>
    <w:rsid w:val="001464E8"/>
    <w:rsid w:val="001464FB"/>
    <w:rsid w:val="00146551"/>
    <w:rsid w:val="00146623"/>
    <w:rsid w:val="00146713"/>
    <w:rsid w:val="0014673D"/>
    <w:rsid w:val="00146C41"/>
    <w:rsid w:val="00146D82"/>
    <w:rsid w:val="00146EA5"/>
    <w:rsid w:val="0014703D"/>
    <w:rsid w:val="00147114"/>
    <w:rsid w:val="00147461"/>
    <w:rsid w:val="0014757D"/>
    <w:rsid w:val="00147610"/>
    <w:rsid w:val="001477B5"/>
    <w:rsid w:val="00147804"/>
    <w:rsid w:val="0014798B"/>
    <w:rsid w:val="00147B9D"/>
    <w:rsid w:val="00147C04"/>
    <w:rsid w:val="00147D84"/>
    <w:rsid w:val="0015016D"/>
    <w:rsid w:val="001501A9"/>
    <w:rsid w:val="0015050D"/>
    <w:rsid w:val="00150786"/>
    <w:rsid w:val="00150793"/>
    <w:rsid w:val="00150840"/>
    <w:rsid w:val="00150B9A"/>
    <w:rsid w:val="00150D07"/>
    <w:rsid w:val="00150DD5"/>
    <w:rsid w:val="001511B8"/>
    <w:rsid w:val="00151564"/>
    <w:rsid w:val="001515A1"/>
    <w:rsid w:val="00151804"/>
    <w:rsid w:val="00151880"/>
    <w:rsid w:val="00151C75"/>
    <w:rsid w:val="00151EF6"/>
    <w:rsid w:val="00151F88"/>
    <w:rsid w:val="00152077"/>
    <w:rsid w:val="0015251F"/>
    <w:rsid w:val="00152670"/>
    <w:rsid w:val="0015287A"/>
    <w:rsid w:val="0015298C"/>
    <w:rsid w:val="00152A04"/>
    <w:rsid w:val="00152ABE"/>
    <w:rsid w:val="00152C49"/>
    <w:rsid w:val="00152D3F"/>
    <w:rsid w:val="00152E0A"/>
    <w:rsid w:val="00153082"/>
    <w:rsid w:val="0015349B"/>
    <w:rsid w:val="0015353C"/>
    <w:rsid w:val="00153692"/>
    <w:rsid w:val="0015370F"/>
    <w:rsid w:val="0015377A"/>
    <w:rsid w:val="00153983"/>
    <w:rsid w:val="00153B8C"/>
    <w:rsid w:val="00153BFA"/>
    <w:rsid w:val="00153C9D"/>
    <w:rsid w:val="00153EB7"/>
    <w:rsid w:val="00153FCD"/>
    <w:rsid w:val="001541FE"/>
    <w:rsid w:val="001544BF"/>
    <w:rsid w:val="00154506"/>
    <w:rsid w:val="00154872"/>
    <w:rsid w:val="00154D06"/>
    <w:rsid w:val="00154D58"/>
    <w:rsid w:val="001552C4"/>
    <w:rsid w:val="0015545E"/>
    <w:rsid w:val="001554C0"/>
    <w:rsid w:val="001554D2"/>
    <w:rsid w:val="00155545"/>
    <w:rsid w:val="00155640"/>
    <w:rsid w:val="00155727"/>
    <w:rsid w:val="001557AA"/>
    <w:rsid w:val="0015587D"/>
    <w:rsid w:val="00155A47"/>
    <w:rsid w:val="00155CE0"/>
    <w:rsid w:val="001560C4"/>
    <w:rsid w:val="00156646"/>
    <w:rsid w:val="0015667E"/>
    <w:rsid w:val="001566BD"/>
    <w:rsid w:val="001567B5"/>
    <w:rsid w:val="001568EC"/>
    <w:rsid w:val="00156B19"/>
    <w:rsid w:val="00156BD4"/>
    <w:rsid w:val="00156EC5"/>
    <w:rsid w:val="00156F6D"/>
    <w:rsid w:val="00157051"/>
    <w:rsid w:val="0015706A"/>
    <w:rsid w:val="001570C0"/>
    <w:rsid w:val="001570C2"/>
    <w:rsid w:val="001570DF"/>
    <w:rsid w:val="0015716A"/>
    <w:rsid w:val="001571EE"/>
    <w:rsid w:val="001573A5"/>
    <w:rsid w:val="00157839"/>
    <w:rsid w:val="0015792F"/>
    <w:rsid w:val="00157A1C"/>
    <w:rsid w:val="00157A5F"/>
    <w:rsid w:val="00157D64"/>
    <w:rsid w:val="00157F71"/>
    <w:rsid w:val="00157FAA"/>
    <w:rsid w:val="00160243"/>
    <w:rsid w:val="001602BA"/>
    <w:rsid w:val="001603AF"/>
    <w:rsid w:val="0016052A"/>
    <w:rsid w:val="001606A1"/>
    <w:rsid w:val="0016072C"/>
    <w:rsid w:val="001609B7"/>
    <w:rsid w:val="00160A10"/>
    <w:rsid w:val="00160BDD"/>
    <w:rsid w:val="00160D77"/>
    <w:rsid w:val="00160DDC"/>
    <w:rsid w:val="00160E43"/>
    <w:rsid w:val="00161005"/>
    <w:rsid w:val="001610D7"/>
    <w:rsid w:val="0016122E"/>
    <w:rsid w:val="00161267"/>
    <w:rsid w:val="00161578"/>
    <w:rsid w:val="00161626"/>
    <w:rsid w:val="001616AA"/>
    <w:rsid w:val="001616B7"/>
    <w:rsid w:val="001617E5"/>
    <w:rsid w:val="00161928"/>
    <w:rsid w:val="00161AA8"/>
    <w:rsid w:val="00162079"/>
    <w:rsid w:val="001621DD"/>
    <w:rsid w:val="001623CB"/>
    <w:rsid w:val="00162401"/>
    <w:rsid w:val="00162972"/>
    <w:rsid w:val="00162ACC"/>
    <w:rsid w:val="00162AD2"/>
    <w:rsid w:val="00162B85"/>
    <w:rsid w:val="00162C7A"/>
    <w:rsid w:val="00162CB3"/>
    <w:rsid w:val="00162CD2"/>
    <w:rsid w:val="00162D0B"/>
    <w:rsid w:val="00162DDB"/>
    <w:rsid w:val="00162DE0"/>
    <w:rsid w:val="00162E10"/>
    <w:rsid w:val="00162E33"/>
    <w:rsid w:val="00162EFF"/>
    <w:rsid w:val="00163132"/>
    <w:rsid w:val="0016315E"/>
    <w:rsid w:val="0016338D"/>
    <w:rsid w:val="00163B1D"/>
    <w:rsid w:val="00163C2F"/>
    <w:rsid w:val="00163C71"/>
    <w:rsid w:val="00163CEC"/>
    <w:rsid w:val="00163DE4"/>
    <w:rsid w:val="00163E07"/>
    <w:rsid w:val="00163F2A"/>
    <w:rsid w:val="00163F4C"/>
    <w:rsid w:val="0016409B"/>
    <w:rsid w:val="0016418B"/>
    <w:rsid w:val="001643B7"/>
    <w:rsid w:val="00164506"/>
    <w:rsid w:val="0016467B"/>
    <w:rsid w:val="001646EF"/>
    <w:rsid w:val="001647D0"/>
    <w:rsid w:val="001648BC"/>
    <w:rsid w:val="00164935"/>
    <w:rsid w:val="0016496B"/>
    <w:rsid w:val="00164BE6"/>
    <w:rsid w:val="00164C58"/>
    <w:rsid w:val="00164FE2"/>
    <w:rsid w:val="00165236"/>
    <w:rsid w:val="001653D0"/>
    <w:rsid w:val="00165493"/>
    <w:rsid w:val="001655BF"/>
    <w:rsid w:val="0016579B"/>
    <w:rsid w:val="0016598C"/>
    <w:rsid w:val="00165D0B"/>
    <w:rsid w:val="00165D70"/>
    <w:rsid w:val="00165F20"/>
    <w:rsid w:val="00166007"/>
    <w:rsid w:val="001664DD"/>
    <w:rsid w:val="001667C4"/>
    <w:rsid w:val="00166948"/>
    <w:rsid w:val="00166B4D"/>
    <w:rsid w:val="00166CEA"/>
    <w:rsid w:val="00166D6C"/>
    <w:rsid w:val="00167210"/>
    <w:rsid w:val="001672B6"/>
    <w:rsid w:val="00167542"/>
    <w:rsid w:val="001675C3"/>
    <w:rsid w:val="001676E3"/>
    <w:rsid w:val="001678A6"/>
    <w:rsid w:val="00167AF3"/>
    <w:rsid w:val="00167C71"/>
    <w:rsid w:val="00167F74"/>
    <w:rsid w:val="00167FEB"/>
    <w:rsid w:val="0017005D"/>
    <w:rsid w:val="00170252"/>
    <w:rsid w:val="001703A7"/>
    <w:rsid w:val="001704AF"/>
    <w:rsid w:val="001708D3"/>
    <w:rsid w:val="00170CCF"/>
    <w:rsid w:val="00170F20"/>
    <w:rsid w:val="00170FED"/>
    <w:rsid w:val="00171321"/>
    <w:rsid w:val="00171376"/>
    <w:rsid w:val="00171396"/>
    <w:rsid w:val="001713C4"/>
    <w:rsid w:val="0017151D"/>
    <w:rsid w:val="00171568"/>
    <w:rsid w:val="001716B6"/>
    <w:rsid w:val="00172133"/>
    <w:rsid w:val="00172134"/>
    <w:rsid w:val="00172229"/>
    <w:rsid w:val="001724A9"/>
    <w:rsid w:val="00172680"/>
    <w:rsid w:val="001727D8"/>
    <w:rsid w:val="0017289C"/>
    <w:rsid w:val="00172BAC"/>
    <w:rsid w:val="00172FA6"/>
    <w:rsid w:val="00173260"/>
    <w:rsid w:val="001732DA"/>
    <w:rsid w:val="0017354C"/>
    <w:rsid w:val="001736DE"/>
    <w:rsid w:val="0017370D"/>
    <w:rsid w:val="00173A33"/>
    <w:rsid w:val="00173C7E"/>
    <w:rsid w:val="00173CD5"/>
    <w:rsid w:val="00173D96"/>
    <w:rsid w:val="00173E36"/>
    <w:rsid w:val="00174038"/>
    <w:rsid w:val="001740E5"/>
    <w:rsid w:val="001741FD"/>
    <w:rsid w:val="001743C4"/>
    <w:rsid w:val="0017443C"/>
    <w:rsid w:val="0017452D"/>
    <w:rsid w:val="001745DB"/>
    <w:rsid w:val="001746E2"/>
    <w:rsid w:val="00174756"/>
    <w:rsid w:val="00174803"/>
    <w:rsid w:val="001748A9"/>
    <w:rsid w:val="00174AE4"/>
    <w:rsid w:val="00174DFA"/>
    <w:rsid w:val="00174E3B"/>
    <w:rsid w:val="0017512B"/>
    <w:rsid w:val="001757EA"/>
    <w:rsid w:val="001758EF"/>
    <w:rsid w:val="00175A19"/>
    <w:rsid w:val="00175BE4"/>
    <w:rsid w:val="00175E5A"/>
    <w:rsid w:val="00175ECF"/>
    <w:rsid w:val="00175EEB"/>
    <w:rsid w:val="00176012"/>
    <w:rsid w:val="0017632D"/>
    <w:rsid w:val="001763AC"/>
    <w:rsid w:val="00176479"/>
    <w:rsid w:val="001765FD"/>
    <w:rsid w:val="001766A8"/>
    <w:rsid w:val="0017671F"/>
    <w:rsid w:val="001767DC"/>
    <w:rsid w:val="00176A31"/>
    <w:rsid w:val="00176B50"/>
    <w:rsid w:val="00176D24"/>
    <w:rsid w:val="0017708E"/>
    <w:rsid w:val="001771CC"/>
    <w:rsid w:val="001773C9"/>
    <w:rsid w:val="001773E8"/>
    <w:rsid w:val="00177493"/>
    <w:rsid w:val="00177603"/>
    <w:rsid w:val="001779BD"/>
    <w:rsid w:val="00177C7F"/>
    <w:rsid w:val="00177CC3"/>
    <w:rsid w:val="0018004F"/>
    <w:rsid w:val="0018005D"/>
    <w:rsid w:val="00180185"/>
    <w:rsid w:val="00180537"/>
    <w:rsid w:val="001807A4"/>
    <w:rsid w:val="001809D5"/>
    <w:rsid w:val="00180B35"/>
    <w:rsid w:val="00180E23"/>
    <w:rsid w:val="00181162"/>
    <w:rsid w:val="00181282"/>
    <w:rsid w:val="001813E7"/>
    <w:rsid w:val="00181549"/>
    <w:rsid w:val="00181D17"/>
    <w:rsid w:val="00181DEF"/>
    <w:rsid w:val="00181F1A"/>
    <w:rsid w:val="00181FDE"/>
    <w:rsid w:val="00182162"/>
    <w:rsid w:val="001822DB"/>
    <w:rsid w:val="0018246B"/>
    <w:rsid w:val="00182774"/>
    <w:rsid w:val="0018287F"/>
    <w:rsid w:val="00182892"/>
    <w:rsid w:val="00182A21"/>
    <w:rsid w:val="00182C62"/>
    <w:rsid w:val="00182F2D"/>
    <w:rsid w:val="00182F5B"/>
    <w:rsid w:val="00183452"/>
    <w:rsid w:val="0018349E"/>
    <w:rsid w:val="001838B4"/>
    <w:rsid w:val="001839E3"/>
    <w:rsid w:val="00183A7A"/>
    <w:rsid w:val="00183D76"/>
    <w:rsid w:val="00183ECB"/>
    <w:rsid w:val="00184221"/>
    <w:rsid w:val="001842C3"/>
    <w:rsid w:val="0018445D"/>
    <w:rsid w:val="00184495"/>
    <w:rsid w:val="00184545"/>
    <w:rsid w:val="00184896"/>
    <w:rsid w:val="0018493F"/>
    <w:rsid w:val="00184962"/>
    <w:rsid w:val="00184C45"/>
    <w:rsid w:val="00184C7C"/>
    <w:rsid w:val="00184C91"/>
    <w:rsid w:val="00184D0E"/>
    <w:rsid w:val="00184E48"/>
    <w:rsid w:val="00184E58"/>
    <w:rsid w:val="00184F19"/>
    <w:rsid w:val="00184F7F"/>
    <w:rsid w:val="001851AB"/>
    <w:rsid w:val="0018538E"/>
    <w:rsid w:val="00185854"/>
    <w:rsid w:val="00185B4E"/>
    <w:rsid w:val="00186306"/>
    <w:rsid w:val="0018642F"/>
    <w:rsid w:val="0018656D"/>
    <w:rsid w:val="001866DE"/>
    <w:rsid w:val="00186A3C"/>
    <w:rsid w:val="00186B96"/>
    <w:rsid w:val="00186D0D"/>
    <w:rsid w:val="00186E8E"/>
    <w:rsid w:val="00186EBA"/>
    <w:rsid w:val="001870A3"/>
    <w:rsid w:val="0018717B"/>
    <w:rsid w:val="00187322"/>
    <w:rsid w:val="001875BF"/>
    <w:rsid w:val="001876F2"/>
    <w:rsid w:val="001876FD"/>
    <w:rsid w:val="00187827"/>
    <w:rsid w:val="00187920"/>
    <w:rsid w:val="001879A3"/>
    <w:rsid w:val="00187B37"/>
    <w:rsid w:val="00187BED"/>
    <w:rsid w:val="00187E46"/>
    <w:rsid w:val="00187EB2"/>
    <w:rsid w:val="00187EF8"/>
    <w:rsid w:val="00187FC7"/>
    <w:rsid w:val="0019063C"/>
    <w:rsid w:val="00190699"/>
    <w:rsid w:val="001908FC"/>
    <w:rsid w:val="00190943"/>
    <w:rsid w:val="0019098D"/>
    <w:rsid w:val="001909E4"/>
    <w:rsid w:val="00190B16"/>
    <w:rsid w:val="00190F99"/>
    <w:rsid w:val="00191491"/>
    <w:rsid w:val="0019161A"/>
    <w:rsid w:val="0019165D"/>
    <w:rsid w:val="001916B4"/>
    <w:rsid w:val="00191B19"/>
    <w:rsid w:val="00191B76"/>
    <w:rsid w:val="00191C1F"/>
    <w:rsid w:val="00191D5E"/>
    <w:rsid w:val="00191DF2"/>
    <w:rsid w:val="00191E2B"/>
    <w:rsid w:val="00191E99"/>
    <w:rsid w:val="00191EF4"/>
    <w:rsid w:val="00191F2D"/>
    <w:rsid w:val="00191F31"/>
    <w:rsid w:val="0019224D"/>
    <w:rsid w:val="00192250"/>
    <w:rsid w:val="001922AB"/>
    <w:rsid w:val="0019242C"/>
    <w:rsid w:val="00192474"/>
    <w:rsid w:val="0019264B"/>
    <w:rsid w:val="0019269D"/>
    <w:rsid w:val="00192759"/>
    <w:rsid w:val="0019285C"/>
    <w:rsid w:val="00192985"/>
    <w:rsid w:val="00192D1B"/>
    <w:rsid w:val="00192D97"/>
    <w:rsid w:val="00193064"/>
    <w:rsid w:val="00193093"/>
    <w:rsid w:val="00193250"/>
    <w:rsid w:val="00193278"/>
    <w:rsid w:val="001932AC"/>
    <w:rsid w:val="001934CF"/>
    <w:rsid w:val="001936F3"/>
    <w:rsid w:val="001936FE"/>
    <w:rsid w:val="001938E5"/>
    <w:rsid w:val="001938F3"/>
    <w:rsid w:val="00194092"/>
    <w:rsid w:val="0019411C"/>
    <w:rsid w:val="0019420B"/>
    <w:rsid w:val="0019432F"/>
    <w:rsid w:val="0019447C"/>
    <w:rsid w:val="001945EF"/>
    <w:rsid w:val="001946E1"/>
    <w:rsid w:val="001948AB"/>
    <w:rsid w:val="001948D7"/>
    <w:rsid w:val="00194978"/>
    <w:rsid w:val="001949F3"/>
    <w:rsid w:val="00194AA4"/>
    <w:rsid w:val="00194C4C"/>
    <w:rsid w:val="00195428"/>
    <w:rsid w:val="001954E3"/>
    <w:rsid w:val="0019555C"/>
    <w:rsid w:val="00195628"/>
    <w:rsid w:val="00195675"/>
    <w:rsid w:val="001956C2"/>
    <w:rsid w:val="00195804"/>
    <w:rsid w:val="0019585D"/>
    <w:rsid w:val="00195B1B"/>
    <w:rsid w:val="00195DA4"/>
    <w:rsid w:val="00195E18"/>
    <w:rsid w:val="00195FE2"/>
    <w:rsid w:val="001960CE"/>
    <w:rsid w:val="0019615F"/>
    <w:rsid w:val="0019635D"/>
    <w:rsid w:val="00196629"/>
    <w:rsid w:val="001966A3"/>
    <w:rsid w:val="00196A79"/>
    <w:rsid w:val="00196BC1"/>
    <w:rsid w:val="00197382"/>
    <w:rsid w:val="0019757A"/>
    <w:rsid w:val="001975FF"/>
    <w:rsid w:val="001978BC"/>
    <w:rsid w:val="001979D1"/>
    <w:rsid w:val="00197C46"/>
    <w:rsid w:val="00197D78"/>
    <w:rsid w:val="001A0066"/>
    <w:rsid w:val="001A00B3"/>
    <w:rsid w:val="001A01A4"/>
    <w:rsid w:val="001A0216"/>
    <w:rsid w:val="001A02A4"/>
    <w:rsid w:val="001A02EC"/>
    <w:rsid w:val="001A0425"/>
    <w:rsid w:val="001A0614"/>
    <w:rsid w:val="001A0649"/>
    <w:rsid w:val="001A0748"/>
    <w:rsid w:val="001A07E4"/>
    <w:rsid w:val="001A0867"/>
    <w:rsid w:val="001A0872"/>
    <w:rsid w:val="001A0B1F"/>
    <w:rsid w:val="001A0B21"/>
    <w:rsid w:val="001A0CB8"/>
    <w:rsid w:val="001A0DD1"/>
    <w:rsid w:val="001A0EF1"/>
    <w:rsid w:val="001A0F56"/>
    <w:rsid w:val="001A1169"/>
    <w:rsid w:val="001A11E2"/>
    <w:rsid w:val="001A12F7"/>
    <w:rsid w:val="001A133F"/>
    <w:rsid w:val="001A1697"/>
    <w:rsid w:val="001A17B6"/>
    <w:rsid w:val="001A19C5"/>
    <w:rsid w:val="001A1A86"/>
    <w:rsid w:val="001A1DA1"/>
    <w:rsid w:val="001A1F16"/>
    <w:rsid w:val="001A2043"/>
    <w:rsid w:val="001A2094"/>
    <w:rsid w:val="001A244E"/>
    <w:rsid w:val="001A26B6"/>
    <w:rsid w:val="001A2A68"/>
    <w:rsid w:val="001A2CE9"/>
    <w:rsid w:val="001A2E5C"/>
    <w:rsid w:val="001A2EAB"/>
    <w:rsid w:val="001A30DB"/>
    <w:rsid w:val="001A3430"/>
    <w:rsid w:val="001A3654"/>
    <w:rsid w:val="001A37D5"/>
    <w:rsid w:val="001A396D"/>
    <w:rsid w:val="001A39A9"/>
    <w:rsid w:val="001A3A99"/>
    <w:rsid w:val="001A3CAE"/>
    <w:rsid w:val="001A3CDF"/>
    <w:rsid w:val="001A3D10"/>
    <w:rsid w:val="001A3EC3"/>
    <w:rsid w:val="001A42E1"/>
    <w:rsid w:val="001A4301"/>
    <w:rsid w:val="001A43CC"/>
    <w:rsid w:val="001A4515"/>
    <w:rsid w:val="001A4710"/>
    <w:rsid w:val="001A4768"/>
    <w:rsid w:val="001A4995"/>
    <w:rsid w:val="001A49EF"/>
    <w:rsid w:val="001A4C1F"/>
    <w:rsid w:val="001A4DD6"/>
    <w:rsid w:val="001A4EFA"/>
    <w:rsid w:val="001A526A"/>
    <w:rsid w:val="001A5436"/>
    <w:rsid w:val="001A5678"/>
    <w:rsid w:val="001A587A"/>
    <w:rsid w:val="001A58FE"/>
    <w:rsid w:val="001A59A3"/>
    <w:rsid w:val="001A5A3C"/>
    <w:rsid w:val="001A5AAF"/>
    <w:rsid w:val="001A5B59"/>
    <w:rsid w:val="001A5C04"/>
    <w:rsid w:val="001A5DBC"/>
    <w:rsid w:val="001A5E6A"/>
    <w:rsid w:val="001A5EE4"/>
    <w:rsid w:val="001A5F6B"/>
    <w:rsid w:val="001A5F9B"/>
    <w:rsid w:val="001A6078"/>
    <w:rsid w:val="001A63E3"/>
    <w:rsid w:val="001A67EA"/>
    <w:rsid w:val="001A6826"/>
    <w:rsid w:val="001A6E0C"/>
    <w:rsid w:val="001A6F4D"/>
    <w:rsid w:val="001A7153"/>
    <w:rsid w:val="001A71D9"/>
    <w:rsid w:val="001A7206"/>
    <w:rsid w:val="001A728F"/>
    <w:rsid w:val="001A72CF"/>
    <w:rsid w:val="001A7476"/>
    <w:rsid w:val="001A751D"/>
    <w:rsid w:val="001A76EE"/>
    <w:rsid w:val="001A774C"/>
    <w:rsid w:val="001A79B0"/>
    <w:rsid w:val="001A7AF9"/>
    <w:rsid w:val="001A7D6F"/>
    <w:rsid w:val="001B03C1"/>
    <w:rsid w:val="001B0803"/>
    <w:rsid w:val="001B08B9"/>
    <w:rsid w:val="001B0AA6"/>
    <w:rsid w:val="001B0C04"/>
    <w:rsid w:val="001B0C6D"/>
    <w:rsid w:val="001B101D"/>
    <w:rsid w:val="001B1028"/>
    <w:rsid w:val="001B1105"/>
    <w:rsid w:val="001B1107"/>
    <w:rsid w:val="001B12DA"/>
    <w:rsid w:val="001B1501"/>
    <w:rsid w:val="001B162D"/>
    <w:rsid w:val="001B1771"/>
    <w:rsid w:val="001B199D"/>
    <w:rsid w:val="001B1E03"/>
    <w:rsid w:val="001B1FC0"/>
    <w:rsid w:val="001B1FD9"/>
    <w:rsid w:val="001B220A"/>
    <w:rsid w:val="001B22D3"/>
    <w:rsid w:val="001B238B"/>
    <w:rsid w:val="001B2687"/>
    <w:rsid w:val="001B285C"/>
    <w:rsid w:val="001B2871"/>
    <w:rsid w:val="001B2DFD"/>
    <w:rsid w:val="001B2EFF"/>
    <w:rsid w:val="001B3068"/>
    <w:rsid w:val="001B3098"/>
    <w:rsid w:val="001B3112"/>
    <w:rsid w:val="001B3164"/>
    <w:rsid w:val="001B3537"/>
    <w:rsid w:val="001B3580"/>
    <w:rsid w:val="001B35F2"/>
    <w:rsid w:val="001B362D"/>
    <w:rsid w:val="001B3743"/>
    <w:rsid w:val="001B3781"/>
    <w:rsid w:val="001B3878"/>
    <w:rsid w:val="001B3927"/>
    <w:rsid w:val="001B39FE"/>
    <w:rsid w:val="001B3A28"/>
    <w:rsid w:val="001B3B39"/>
    <w:rsid w:val="001B3BB7"/>
    <w:rsid w:val="001B3CB6"/>
    <w:rsid w:val="001B406D"/>
    <w:rsid w:val="001B41D6"/>
    <w:rsid w:val="001B41FA"/>
    <w:rsid w:val="001B4255"/>
    <w:rsid w:val="001B4394"/>
    <w:rsid w:val="001B44AA"/>
    <w:rsid w:val="001B457E"/>
    <w:rsid w:val="001B472E"/>
    <w:rsid w:val="001B4912"/>
    <w:rsid w:val="001B4DD3"/>
    <w:rsid w:val="001B5395"/>
    <w:rsid w:val="001B53D3"/>
    <w:rsid w:val="001B58A2"/>
    <w:rsid w:val="001B5C82"/>
    <w:rsid w:val="001B5E3A"/>
    <w:rsid w:val="001B5EE6"/>
    <w:rsid w:val="001B6011"/>
    <w:rsid w:val="001B6515"/>
    <w:rsid w:val="001B6679"/>
    <w:rsid w:val="001B686E"/>
    <w:rsid w:val="001B68A8"/>
    <w:rsid w:val="001B69F2"/>
    <w:rsid w:val="001B70C6"/>
    <w:rsid w:val="001B7148"/>
    <w:rsid w:val="001B744E"/>
    <w:rsid w:val="001B751E"/>
    <w:rsid w:val="001B7543"/>
    <w:rsid w:val="001B7BA4"/>
    <w:rsid w:val="001B7C33"/>
    <w:rsid w:val="001B7CB5"/>
    <w:rsid w:val="001B7E94"/>
    <w:rsid w:val="001B7F29"/>
    <w:rsid w:val="001B7FFC"/>
    <w:rsid w:val="001C0350"/>
    <w:rsid w:val="001C0625"/>
    <w:rsid w:val="001C095A"/>
    <w:rsid w:val="001C0C72"/>
    <w:rsid w:val="001C0E49"/>
    <w:rsid w:val="001C0ECA"/>
    <w:rsid w:val="001C0F43"/>
    <w:rsid w:val="001C1057"/>
    <w:rsid w:val="001C1089"/>
    <w:rsid w:val="001C1258"/>
    <w:rsid w:val="001C125C"/>
    <w:rsid w:val="001C1267"/>
    <w:rsid w:val="001C1379"/>
    <w:rsid w:val="001C1474"/>
    <w:rsid w:val="001C15C2"/>
    <w:rsid w:val="001C167C"/>
    <w:rsid w:val="001C1779"/>
    <w:rsid w:val="001C1873"/>
    <w:rsid w:val="001C18A3"/>
    <w:rsid w:val="001C1F32"/>
    <w:rsid w:val="001C20D5"/>
    <w:rsid w:val="001C25E3"/>
    <w:rsid w:val="001C276C"/>
    <w:rsid w:val="001C27AB"/>
    <w:rsid w:val="001C28F8"/>
    <w:rsid w:val="001C2990"/>
    <w:rsid w:val="001C3074"/>
    <w:rsid w:val="001C3075"/>
    <w:rsid w:val="001C3274"/>
    <w:rsid w:val="001C33B1"/>
    <w:rsid w:val="001C3474"/>
    <w:rsid w:val="001C360A"/>
    <w:rsid w:val="001C3A67"/>
    <w:rsid w:val="001C3B4A"/>
    <w:rsid w:val="001C3B7A"/>
    <w:rsid w:val="001C3DBC"/>
    <w:rsid w:val="001C42DC"/>
    <w:rsid w:val="001C4376"/>
    <w:rsid w:val="001C449F"/>
    <w:rsid w:val="001C456E"/>
    <w:rsid w:val="001C4745"/>
    <w:rsid w:val="001C479E"/>
    <w:rsid w:val="001C4A11"/>
    <w:rsid w:val="001C4A75"/>
    <w:rsid w:val="001C4A88"/>
    <w:rsid w:val="001C4A89"/>
    <w:rsid w:val="001C4AA8"/>
    <w:rsid w:val="001C4C5E"/>
    <w:rsid w:val="001C4D2D"/>
    <w:rsid w:val="001C4DEA"/>
    <w:rsid w:val="001C4E5C"/>
    <w:rsid w:val="001C5027"/>
    <w:rsid w:val="001C514C"/>
    <w:rsid w:val="001C52B7"/>
    <w:rsid w:val="001C5433"/>
    <w:rsid w:val="001C554E"/>
    <w:rsid w:val="001C570A"/>
    <w:rsid w:val="001C5A46"/>
    <w:rsid w:val="001C5FBD"/>
    <w:rsid w:val="001C622B"/>
    <w:rsid w:val="001C62C8"/>
    <w:rsid w:val="001C646A"/>
    <w:rsid w:val="001C64D6"/>
    <w:rsid w:val="001C65FC"/>
    <w:rsid w:val="001C6658"/>
    <w:rsid w:val="001C669B"/>
    <w:rsid w:val="001C66CF"/>
    <w:rsid w:val="001C6AB3"/>
    <w:rsid w:val="001C6B50"/>
    <w:rsid w:val="001C6C13"/>
    <w:rsid w:val="001C6CC1"/>
    <w:rsid w:val="001C6FBB"/>
    <w:rsid w:val="001C7091"/>
    <w:rsid w:val="001C7172"/>
    <w:rsid w:val="001C7273"/>
    <w:rsid w:val="001C735A"/>
    <w:rsid w:val="001C76CA"/>
    <w:rsid w:val="001C7C8F"/>
    <w:rsid w:val="001C7D6C"/>
    <w:rsid w:val="001D0132"/>
    <w:rsid w:val="001D023C"/>
    <w:rsid w:val="001D0308"/>
    <w:rsid w:val="001D0394"/>
    <w:rsid w:val="001D0396"/>
    <w:rsid w:val="001D0832"/>
    <w:rsid w:val="001D0A06"/>
    <w:rsid w:val="001D0A81"/>
    <w:rsid w:val="001D0D35"/>
    <w:rsid w:val="001D1024"/>
    <w:rsid w:val="001D1111"/>
    <w:rsid w:val="001D1179"/>
    <w:rsid w:val="001D12FA"/>
    <w:rsid w:val="001D1335"/>
    <w:rsid w:val="001D149F"/>
    <w:rsid w:val="001D152B"/>
    <w:rsid w:val="001D15F4"/>
    <w:rsid w:val="001D1826"/>
    <w:rsid w:val="001D1961"/>
    <w:rsid w:val="001D1A31"/>
    <w:rsid w:val="001D1AE1"/>
    <w:rsid w:val="001D1AF7"/>
    <w:rsid w:val="001D1C04"/>
    <w:rsid w:val="001D1C4A"/>
    <w:rsid w:val="001D1E9D"/>
    <w:rsid w:val="001D1F2D"/>
    <w:rsid w:val="001D2063"/>
    <w:rsid w:val="001D207F"/>
    <w:rsid w:val="001D219E"/>
    <w:rsid w:val="001D23EB"/>
    <w:rsid w:val="001D2578"/>
    <w:rsid w:val="001D26C0"/>
    <w:rsid w:val="001D2805"/>
    <w:rsid w:val="001D2A98"/>
    <w:rsid w:val="001D2C42"/>
    <w:rsid w:val="001D2C4E"/>
    <w:rsid w:val="001D2DD6"/>
    <w:rsid w:val="001D2F89"/>
    <w:rsid w:val="001D3557"/>
    <w:rsid w:val="001D3592"/>
    <w:rsid w:val="001D35E2"/>
    <w:rsid w:val="001D36EB"/>
    <w:rsid w:val="001D3749"/>
    <w:rsid w:val="001D3901"/>
    <w:rsid w:val="001D3A7F"/>
    <w:rsid w:val="001D3AC5"/>
    <w:rsid w:val="001D3B85"/>
    <w:rsid w:val="001D3CFC"/>
    <w:rsid w:val="001D3E09"/>
    <w:rsid w:val="001D3E2D"/>
    <w:rsid w:val="001D404F"/>
    <w:rsid w:val="001D40B3"/>
    <w:rsid w:val="001D4110"/>
    <w:rsid w:val="001D4269"/>
    <w:rsid w:val="001D43B8"/>
    <w:rsid w:val="001D4AAD"/>
    <w:rsid w:val="001D4D3D"/>
    <w:rsid w:val="001D4D82"/>
    <w:rsid w:val="001D4D84"/>
    <w:rsid w:val="001D4DA8"/>
    <w:rsid w:val="001D4E10"/>
    <w:rsid w:val="001D4E20"/>
    <w:rsid w:val="001D4EF4"/>
    <w:rsid w:val="001D4F2A"/>
    <w:rsid w:val="001D508F"/>
    <w:rsid w:val="001D530E"/>
    <w:rsid w:val="001D53D6"/>
    <w:rsid w:val="001D55C8"/>
    <w:rsid w:val="001D57DE"/>
    <w:rsid w:val="001D5D21"/>
    <w:rsid w:val="001D5DBB"/>
    <w:rsid w:val="001D63D6"/>
    <w:rsid w:val="001D6523"/>
    <w:rsid w:val="001D65A3"/>
    <w:rsid w:val="001D6692"/>
    <w:rsid w:val="001D6976"/>
    <w:rsid w:val="001D6A2A"/>
    <w:rsid w:val="001D6BF9"/>
    <w:rsid w:val="001D703A"/>
    <w:rsid w:val="001D71E6"/>
    <w:rsid w:val="001D749F"/>
    <w:rsid w:val="001D74B8"/>
    <w:rsid w:val="001D7502"/>
    <w:rsid w:val="001D7A82"/>
    <w:rsid w:val="001D7A84"/>
    <w:rsid w:val="001D7AC3"/>
    <w:rsid w:val="001D7E2D"/>
    <w:rsid w:val="001D7E5B"/>
    <w:rsid w:val="001E0047"/>
    <w:rsid w:val="001E00BD"/>
    <w:rsid w:val="001E019B"/>
    <w:rsid w:val="001E02B0"/>
    <w:rsid w:val="001E03B6"/>
    <w:rsid w:val="001E048A"/>
    <w:rsid w:val="001E0ABD"/>
    <w:rsid w:val="001E0ACB"/>
    <w:rsid w:val="001E0D74"/>
    <w:rsid w:val="001E0EC2"/>
    <w:rsid w:val="001E1127"/>
    <w:rsid w:val="001E1311"/>
    <w:rsid w:val="001E13B4"/>
    <w:rsid w:val="001E189A"/>
    <w:rsid w:val="001E1AA2"/>
    <w:rsid w:val="001E1CBD"/>
    <w:rsid w:val="001E1DA9"/>
    <w:rsid w:val="001E1E42"/>
    <w:rsid w:val="001E205C"/>
    <w:rsid w:val="001E230D"/>
    <w:rsid w:val="001E2378"/>
    <w:rsid w:val="001E254E"/>
    <w:rsid w:val="001E25F8"/>
    <w:rsid w:val="001E2B38"/>
    <w:rsid w:val="001E2FEB"/>
    <w:rsid w:val="001E3171"/>
    <w:rsid w:val="001E31DC"/>
    <w:rsid w:val="001E3358"/>
    <w:rsid w:val="001E33AE"/>
    <w:rsid w:val="001E348F"/>
    <w:rsid w:val="001E3790"/>
    <w:rsid w:val="001E3903"/>
    <w:rsid w:val="001E3B2E"/>
    <w:rsid w:val="001E3D94"/>
    <w:rsid w:val="001E3DFF"/>
    <w:rsid w:val="001E3F62"/>
    <w:rsid w:val="001E429F"/>
    <w:rsid w:val="001E438A"/>
    <w:rsid w:val="001E44B7"/>
    <w:rsid w:val="001E4BEE"/>
    <w:rsid w:val="001E4D6B"/>
    <w:rsid w:val="001E50D0"/>
    <w:rsid w:val="001E51C8"/>
    <w:rsid w:val="001E538C"/>
    <w:rsid w:val="001E5437"/>
    <w:rsid w:val="001E5641"/>
    <w:rsid w:val="001E5892"/>
    <w:rsid w:val="001E595A"/>
    <w:rsid w:val="001E5D91"/>
    <w:rsid w:val="001E5E85"/>
    <w:rsid w:val="001E641D"/>
    <w:rsid w:val="001E65C6"/>
    <w:rsid w:val="001E6825"/>
    <w:rsid w:val="001E682A"/>
    <w:rsid w:val="001E6C09"/>
    <w:rsid w:val="001E6DB3"/>
    <w:rsid w:val="001E7038"/>
    <w:rsid w:val="001E7157"/>
    <w:rsid w:val="001E7174"/>
    <w:rsid w:val="001E72FB"/>
    <w:rsid w:val="001E73C4"/>
    <w:rsid w:val="001E73DF"/>
    <w:rsid w:val="001E7559"/>
    <w:rsid w:val="001E7975"/>
    <w:rsid w:val="001E7976"/>
    <w:rsid w:val="001E79A5"/>
    <w:rsid w:val="001E7A65"/>
    <w:rsid w:val="001F0027"/>
    <w:rsid w:val="001F006D"/>
    <w:rsid w:val="001F05A7"/>
    <w:rsid w:val="001F064A"/>
    <w:rsid w:val="001F07B8"/>
    <w:rsid w:val="001F092C"/>
    <w:rsid w:val="001F0A15"/>
    <w:rsid w:val="001F0B8B"/>
    <w:rsid w:val="001F0BAE"/>
    <w:rsid w:val="001F0BEE"/>
    <w:rsid w:val="001F0D85"/>
    <w:rsid w:val="001F0DF1"/>
    <w:rsid w:val="001F0ECF"/>
    <w:rsid w:val="001F0F5E"/>
    <w:rsid w:val="001F102C"/>
    <w:rsid w:val="001F1316"/>
    <w:rsid w:val="001F1446"/>
    <w:rsid w:val="001F14BA"/>
    <w:rsid w:val="001F1822"/>
    <w:rsid w:val="001F19DF"/>
    <w:rsid w:val="001F19FA"/>
    <w:rsid w:val="001F1D2A"/>
    <w:rsid w:val="001F1F88"/>
    <w:rsid w:val="001F1F99"/>
    <w:rsid w:val="001F200B"/>
    <w:rsid w:val="001F2118"/>
    <w:rsid w:val="001F2349"/>
    <w:rsid w:val="001F23CB"/>
    <w:rsid w:val="001F24AE"/>
    <w:rsid w:val="001F2890"/>
    <w:rsid w:val="001F2AD2"/>
    <w:rsid w:val="001F2ADF"/>
    <w:rsid w:val="001F2B0F"/>
    <w:rsid w:val="001F2CAB"/>
    <w:rsid w:val="001F2DB2"/>
    <w:rsid w:val="001F2FFD"/>
    <w:rsid w:val="001F34AB"/>
    <w:rsid w:val="001F365B"/>
    <w:rsid w:val="001F37A3"/>
    <w:rsid w:val="001F3863"/>
    <w:rsid w:val="001F39CF"/>
    <w:rsid w:val="001F39F3"/>
    <w:rsid w:val="001F3B3E"/>
    <w:rsid w:val="001F3B5E"/>
    <w:rsid w:val="001F3BA3"/>
    <w:rsid w:val="001F3C42"/>
    <w:rsid w:val="001F3D41"/>
    <w:rsid w:val="001F3DB6"/>
    <w:rsid w:val="001F3FF4"/>
    <w:rsid w:val="001F4150"/>
    <w:rsid w:val="001F41D5"/>
    <w:rsid w:val="001F4209"/>
    <w:rsid w:val="001F4509"/>
    <w:rsid w:val="001F45CB"/>
    <w:rsid w:val="001F47CE"/>
    <w:rsid w:val="001F49C2"/>
    <w:rsid w:val="001F4B57"/>
    <w:rsid w:val="001F4BF4"/>
    <w:rsid w:val="001F4C5B"/>
    <w:rsid w:val="001F4E32"/>
    <w:rsid w:val="001F50CA"/>
    <w:rsid w:val="001F5265"/>
    <w:rsid w:val="001F52BE"/>
    <w:rsid w:val="001F52E0"/>
    <w:rsid w:val="001F553E"/>
    <w:rsid w:val="001F557D"/>
    <w:rsid w:val="001F5659"/>
    <w:rsid w:val="001F56B7"/>
    <w:rsid w:val="001F58FF"/>
    <w:rsid w:val="001F5CBD"/>
    <w:rsid w:val="001F5E1B"/>
    <w:rsid w:val="001F5E1F"/>
    <w:rsid w:val="001F60EB"/>
    <w:rsid w:val="001F620D"/>
    <w:rsid w:val="001F62B9"/>
    <w:rsid w:val="001F6A54"/>
    <w:rsid w:val="001F6A5D"/>
    <w:rsid w:val="001F710B"/>
    <w:rsid w:val="001F7167"/>
    <w:rsid w:val="001F7507"/>
    <w:rsid w:val="001F7572"/>
    <w:rsid w:val="001F7604"/>
    <w:rsid w:val="001F7700"/>
    <w:rsid w:val="001F790A"/>
    <w:rsid w:val="001F79B4"/>
    <w:rsid w:val="001F7A6C"/>
    <w:rsid w:val="001F7C4E"/>
    <w:rsid w:val="001F7C8D"/>
    <w:rsid w:val="001F7D12"/>
    <w:rsid w:val="001F7E34"/>
    <w:rsid w:val="0020008A"/>
    <w:rsid w:val="002002B8"/>
    <w:rsid w:val="002003A5"/>
    <w:rsid w:val="00200646"/>
    <w:rsid w:val="00200754"/>
    <w:rsid w:val="0020079E"/>
    <w:rsid w:val="002008A9"/>
    <w:rsid w:val="002008CA"/>
    <w:rsid w:val="00200AC9"/>
    <w:rsid w:val="00200B27"/>
    <w:rsid w:val="00200B2A"/>
    <w:rsid w:val="00200C97"/>
    <w:rsid w:val="00200E10"/>
    <w:rsid w:val="00200E6B"/>
    <w:rsid w:val="0020119B"/>
    <w:rsid w:val="00201212"/>
    <w:rsid w:val="00201436"/>
    <w:rsid w:val="00201913"/>
    <w:rsid w:val="00201B56"/>
    <w:rsid w:val="00201C3B"/>
    <w:rsid w:val="00201F36"/>
    <w:rsid w:val="002020EF"/>
    <w:rsid w:val="00202372"/>
    <w:rsid w:val="00202BCB"/>
    <w:rsid w:val="00203199"/>
    <w:rsid w:val="002031D5"/>
    <w:rsid w:val="0020323E"/>
    <w:rsid w:val="00203483"/>
    <w:rsid w:val="0020350E"/>
    <w:rsid w:val="00203542"/>
    <w:rsid w:val="002035B2"/>
    <w:rsid w:val="002036C9"/>
    <w:rsid w:val="002037AB"/>
    <w:rsid w:val="00203B4E"/>
    <w:rsid w:val="00203E16"/>
    <w:rsid w:val="002041E4"/>
    <w:rsid w:val="00204313"/>
    <w:rsid w:val="002043D3"/>
    <w:rsid w:val="002044FF"/>
    <w:rsid w:val="00204825"/>
    <w:rsid w:val="002048E2"/>
    <w:rsid w:val="0020499C"/>
    <w:rsid w:val="00204E34"/>
    <w:rsid w:val="00204F38"/>
    <w:rsid w:val="002057CD"/>
    <w:rsid w:val="00205B43"/>
    <w:rsid w:val="00205BAE"/>
    <w:rsid w:val="00205BE1"/>
    <w:rsid w:val="00205F46"/>
    <w:rsid w:val="002063DC"/>
    <w:rsid w:val="002065D2"/>
    <w:rsid w:val="00206933"/>
    <w:rsid w:val="00206BC6"/>
    <w:rsid w:val="00206D8D"/>
    <w:rsid w:val="00206D9A"/>
    <w:rsid w:val="00207170"/>
    <w:rsid w:val="0020724D"/>
    <w:rsid w:val="002073A6"/>
    <w:rsid w:val="002075F1"/>
    <w:rsid w:val="00207768"/>
    <w:rsid w:val="002077CD"/>
    <w:rsid w:val="0020788E"/>
    <w:rsid w:val="00207C90"/>
    <w:rsid w:val="00207FF1"/>
    <w:rsid w:val="00207FFD"/>
    <w:rsid w:val="0021005E"/>
    <w:rsid w:val="00210254"/>
    <w:rsid w:val="00210379"/>
    <w:rsid w:val="0021038F"/>
    <w:rsid w:val="00210496"/>
    <w:rsid w:val="002104B9"/>
    <w:rsid w:val="00210629"/>
    <w:rsid w:val="002106A3"/>
    <w:rsid w:val="002107C7"/>
    <w:rsid w:val="00210A8F"/>
    <w:rsid w:val="00210AB7"/>
    <w:rsid w:val="00210D43"/>
    <w:rsid w:val="00210F3F"/>
    <w:rsid w:val="002110B7"/>
    <w:rsid w:val="002113CF"/>
    <w:rsid w:val="00211447"/>
    <w:rsid w:val="002114D3"/>
    <w:rsid w:val="0021151E"/>
    <w:rsid w:val="0021189E"/>
    <w:rsid w:val="002120DF"/>
    <w:rsid w:val="0021256F"/>
    <w:rsid w:val="00212750"/>
    <w:rsid w:val="002130CF"/>
    <w:rsid w:val="002133F1"/>
    <w:rsid w:val="00213843"/>
    <w:rsid w:val="00213E4F"/>
    <w:rsid w:val="0021401B"/>
    <w:rsid w:val="00214057"/>
    <w:rsid w:val="00214148"/>
    <w:rsid w:val="002141D2"/>
    <w:rsid w:val="002143A3"/>
    <w:rsid w:val="00214699"/>
    <w:rsid w:val="00214747"/>
    <w:rsid w:val="002148CE"/>
    <w:rsid w:val="00214B7B"/>
    <w:rsid w:val="00214D21"/>
    <w:rsid w:val="00214EC3"/>
    <w:rsid w:val="00214F9A"/>
    <w:rsid w:val="00215042"/>
    <w:rsid w:val="0021558E"/>
    <w:rsid w:val="002158C7"/>
    <w:rsid w:val="002158F6"/>
    <w:rsid w:val="002159A0"/>
    <w:rsid w:val="00215B80"/>
    <w:rsid w:val="00215CC2"/>
    <w:rsid w:val="002164F5"/>
    <w:rsid w:val="0021651B"/>
    <w:rsid w:val="002166C1"/>
    <w:rsid w:val="002166E2"/>
    <w:rsid w:val="00216762"/>
    <w:rsid w:val="00216764"/>
    <w:rsid w:val="00216989"/>
    <w:rsid w:val="00216D96"/>
    <w:rsid w:val="00216F64"/>
    <w:rsid w:val="00217136"/>
    <w:rsid w:val="002171CB"/>
    <w:rsid w:val="002173CC"/>
    <w:rsid w:val="002175EF"/>
    <w:rsid w:val="0021774C"/>
    <w:rsid w:val="002178BF"/>
    <w:rsid w:val="00217A6A"/>
    <w:rsid w:val="00217CA4"/>
    <w:rsid w:val="00217D1F"/>
    <w:rsid w:val="00217DCF"/>
    <w:rsid w:val="00217EB1"/>
    <w:rsid w:val="00220309"/>
    <w:rsid w:val="00220319"/>
    <w:rsid w:val="00220578"/>
    <w:rsid w:val="002205A6"/>
    <w:rsid w:val="0022060C"/>
    <w:rsid w:val="00220846"/>
    <w:rsid w:val="00220C99"/>
    <w:rsid w:val="00220D70"/>
    <w:rsid w:val="00220E57"/>
    <w:rsid w:val="00220F3E"/>
    <w:rsid w:val="00221501"/>
    <w:rsid w:val="0022156A"/>
    <w:rsid w:val="002215F2"/>
    <w:rsid w:val="002217DC"/>
    <w:rsid w:val="002219BA"/>
    <w:rsid w:val="002219CB"/>
    <w:rsid w:val="00221C47"/>
    <w:rsid w:val="00221DAD"/>
    <w:rsid w:val="00221FB4"/>
    <w:rsid w:val="002221C9"/>
    <w:rsid w:val="00222201"/>
    <w:rsid w:val="00222273"/>
    <w:rsid w:val="002223DC"/>
    <w:rsid w:val="0022268D"/>
    <w:rsid w:val="0022274D"/>
    <w:rsid w:val="00222976"/>
    <w:rsid w:val="00222A3C"/>
    <w:rsid w:val="00222DF7"/>
    <w:rsid w:val="0022318C"/>
    <w:rsid w:val="00223561"/>
    <w:rsid w:val="002235AC"/>
    <w:rsid w:val="002238DE"/>
    <w:rsid w:val="0022397A"/>
    <w:rsid w:val="00223A53"/>
    <w:rsid w:val="00223D37"/>
    <w:rsid w:val="00223DA5"/>
    <w:rsid w:val="00223E24"/>
    <w:rsid w:val="00223EAD"/>
    <w:rsid w:val="00223F6B"/>
    <w:rsid w:val="00224128"/>
    <w:rsid w:val="002241F5"/>
    <w:rsid w:val="00224255"/>
    <w:rsid w:val="00224273"/>
    <w:rsid w:val="00224406"/>
    <w:rsid w:val="00224558"/>
    <w:rsid w:val="002248B7"/>
    <w:rsid w:val="0022490A"/>
    <w:rsid w:val="00224A4F"/>
    <w:rsid w:val="00224BC2"/>
    <w:rsid w:val="00224BC6"/>
    <w:rsid w:val="00224C4A"/>
    <w:rsid w:val="00224FBF"/>
    <w:rsid w:val="00225678"/>
    <w:rsid w:val="002259C9"/>
    <w:rsid w:val="00225A14"/>
    <w:rsid w:val="00225A33"/>
    <w:rsid w:val="00225A62"/>
    <w:rsid w:val="00225B45"/>
    <w:rsid w:val="00225C48"/>
    <w:rsid w:val="00226250"/>
    <w:rsid w:val="0022668C"/>
    <w:rsid w:val="0022682D"/>
    <w:rsid w:val="00226BA9"/>
    <w:rsid w:val="00226E60"/>
    <w:rsid w:val="0022712A"/>
    <w:rsid w:val="0022726C"/>
    <w:rsid w:val="0022730D"/>
    <w:rsid w:val="002275E3"/>
    <w:rsid w:val="0022761E"/>
    <w:rsid w:val="00227873"/>
    <w:rsid w:val="00227944"/>
    <w:rsid w:val="00227A8F"/>
    <w:rsid w:val="00227B4E"/>
    <w:rsid w:val="00227DA6"/>
    <w:rsid w:val="00227E54"/>
    <w:rsid w:val="00227F04"/>
    <w:rsid w:val="00227F0B"/>
    <w:rsid w:val="002300D4"/>
    <w:rsid w:val="002304EF"/>
    <w:rsid w:val="00230595"/>
    <w:rsid w:val="0023073A"/>
    <w:rsid w:val="0023096E"/>
    <w:rsid w:val="00230987"/>
    <w:rsid w:val="002309C9"/>
    <w:rsid w:val="002309D7"/>
    <w:rsid w:val="00230A4F"/>
    <w:rsid w:val="00230C47"/>
    <w:rsid w:val="00230ED9"/>
    <w:rsid w:val="00230FB5"/>
    <w:rsid w:val="00231023"/>
    <w:rsid w:val="00231192"/>
    <w:rsid w:val="002312E4"/>
    <w:rsid w:val="00231349"/>
    <w:rsid w:val="00231443"/>
    <w:rsid w:val="0023153C"/>
    <w:rsid w:val="0023154C"/>
    <w:rsid w:val="002318AC"/>
    <w:rsid w:val="00231BCF"/>
    <w:rsid w:val="00231DAD"/>
    <w:rsid w:val="00232162"/>
    <w:rsid w:val="002322E2"/>
    <w:rsid w:val="00232388"/>
    <w:rsid w:val="002326C6"/>
    <w:rsid w:val="002328D9"/>
    <w:rsid w:val="00232BF9"/>
    <w:rsid w:val="00232D4C"/>
    <w:rsid w:val="00232ED3"/>
    <w:rsid w:val="00232F47"/>
    <w:rsid w:val="0023311A"/>
    <w:rsid w:val="00233335"/>
    <w:rsid w:val="00233450"/>
    <w:rsid w:val="0023349A"/>
    <w:rsid w:val="0023371D"/>
    <w:rsid w:val="002339F4"/>
    <w:rsid w:val="00233CBC"/>
    <w:rsid w:val="00233FAB"/>
    <w:rsid w:val="002340D4"/>
    <w:rsid w:val="00234170"/>
    <w:rsid w:val="00234234"/>
    <w:rsid w:val="00234303"/>
    <w:rsid w:val="00234475"/>
    <w:rsid w:val="00234479"/>
    <w:rsid w:val="00234630"/>
    <w:rsid w:val="002347BB"/>
    <w:rsid w:val="002348D2"/>
    <w:rsid w:val="00234913"/>
    <w:rsid w:val="00234B3F"/>
    <w:rsid w:val="00234CAB"/>
    <w:rsid w:val="00234D70"/>
    <w:rsid w:val="00234D82"/>
    <w:rsid w:val="002350FE"/>
    <w:rsid w:val="0023518D"/>
    <w:rsid w:val="0023578A"/>
    <w:rsid w:val="002357F0"/>
    <w:rsid w:val="002359F0"/>
    <w:rsid w:val="00235A87"/>
    <w:rsid w:val="00235ABB"/>
    <w:rsid w:val="00235AD5"/>
    <w:rsid w:val="00235FE6"/>
    <w:rsid w:val="002360AB"/>
    <w:rsid w:val="0023620B"/>
    <w:rsid w:val="0023624C"/>
    <w:rsid w:val="002362DB"/>
    <w:rsid w:val="002362E9"/>
    <w:rsid w:val="00236326"/>
    <w:rsid w:val="00236816"/>
    <w:rsid w:val="00236817"/>
    <w:rsid w:val="00236841"/>
    <w:rsid w:val="00236CBD"/>
    <w:rsid w:val="002371D0"/>
    <w:rsid w:val="002372EC"/>
    <w:rsid w:val="002375B6"/>
    <w:rsid w:val="00237AE5"/>
    <w:rsid w:val="00237B41"/>
    <w:rsid w:val="00237C17"/>
    <w:rsid w:val="00237CC1"/>
    <w:rsid w:val="00240079"/>
    <w:rsid w:val="00240135"/>
    <w:rsid w:val="00240166"/>
    <w:rsid w:val="00240466"/>
    <w:rsid w:val="0024061F"/>
    <w:rsid w:val="002407D8"/>
    <w:rsid w:val="00240898"/>
    <w:rsid w:val="00240AFA"/>
    <w:rsid w:val="00240CA7"/>
    <w:rsid w:val="00240E9C"/>
    <w:rsid w:val="00240F03"/>
    <w:rsid w:val="0024104F"/>
    <w:rsid w:val="0024133C"/>
    <w:rsid w:val="002414DF"/>
    <w:rsid w:val="00241504"/>
    <w:rsid w:val="0024159D"/>
    <w:rsid w:val="0024183E"/>
    <w:rsid w:val="00241968"/>
    <w:rsid w:val="00241989"/>
    <w:rsid w:val="00241C87"/>
    <w:rsid w:val="00241DB0"/>
    <w:rsid w:val="00241F77"/>
    <w:rsid w:val="00241FE9"/>
    <w:rsid w:val="002420EF"/>
    <w:rsid w:val="002421C7"/>
    <w:rsid w:val="00242293"/>
    <w:rsid w:val="00242712"/>
    <w:rsid w:val="00242D34"/>
    <w:rsid w:val="00242E06"/>
    <w:rsid w:val="00242E88"/>
    <w:rsid w:val="00242FF9"/>
    <w:rsid w:val="0024304D"/>
    <w:rsid w:val="002431BC"/>
    <w:rsid w:val="002431C7"/>
    <w:rsid w:val="00243310"/>
    <w:rsid w:val="002434B5"/>
    <w:rsid w:val="00243547"/>
    <w:rsid w:val="002437AA"/>
    <w:rsid w:val="002439A9"/>
    <w:rsid w:val="00243A13"/>
    <w:rsid w:val="00243BE4"/>
    <w:rsid w:val="00243BF6"/>
    <w:rsid w:val="00243DCB"/>
    <w:rsid w:val="00243FA6"/>
    <w:rsid w:val="002441F1"/>
    <w:rsid w:val="0024423F"/>
    <w:rsid w:val="00244633"/>
    <w:rsid w:val="00244920"/>
    <w:rsid w:val="00244E90"/>
    <w:rsid w:val="00244F3D"/>
    <w:rsid w:val="00244FD9"/>
    <w:rsid w:val="002452B9"/>
    <w:rsid w:val="0024556A"/>
    <w:rsid w:val="00245688"/>
    <w:rsid w:val="002457CE"/>
    <w:rsid w:val="00245A46"/>
    <w:rsid w:val="00245AD8"/>
    <w:rsid w:val="00245D0A"/>
    <w:rsid w:val="00245DA0"/>
    <w:rsid w:val="00245ECB"/>
    <w:rsid w:val="002460F6"/>
    <w:rsid w:val="002468ED"/>
    <w:rsid w:val="00246936"/>
    <w:rsid w:val="002469EB"/>
    <w:rsid w:val="00246A86"/>
    <w:rsid w:val="00246B56"/>
    <w:rsid w:val="00246CA6"/>
    <w:rsid w:val="00246CD3"/>
    <w:rsid w:val="00246DB1"/>
    <w:rsid w:val="00246DF9"/>
    <w:rsid w:val="00246EAB"/>
    <w:rsid w:val="00246ED1"/>
    <w:rsid w:val="00246FC5"/>
    <w:rsid w:val="00247155"/>
    <w:rsid w:val="002471CF"/>
    <w:rsid w:val="00247372"/>
    <w:rsid w:val="0024742D"/>
    <w:rsid w:val="00247669"/>
    <w:rsid w:val="002476D7"/>
    <w:rsid w:val="00247886"/>
    <w:rsid w:val="00247A08"/>
    <w:rsid w:val="00247A90"/>
    <w:rsid w:val="00247B8F"/>
    <w:rsid w:val="00247C74"/>
    <w:rsid w:val="00247D11"/>
    <w:rsid w:val="00247FCD"/>
    <w:rsid w:val="0025014A"/>
    <w:rsid w:val="00250230"/>
    <w:rsid w:val="00250375"/>
    <w:rsid w:val="00250424"/>
    <w:rsid w:val="00250436"/>
    <w:rsid w:val="00250651"/>
    <w:rsid w:val="0025068E"/>
    <w:rsid w:val="0025070D"/>
    <w:rsid w:val="0025092F"/>
    <w:rsid w:val="00250B98"/>
    <w:rsid w:val="00250B9E"/>
    <w:rsid w:val="00250DB9"/>
    <w:rsid w:val="00250E8F"/>
    <w:rsid w:val="00250E9D"/>
    <w:rsid w:val="00251027"/>
    <w:rsid w:val="00251142"/>
    <w:rsid w:val="00251334"/>
    <w:rsid w:val="0025166F"/>
    <w:rsid w:val="002517B2"/>
    <w:rsid w:val="00251AEF"/>
    <w:rsid w:val="00252254"/>
    <w:rsid w:val="002522DA"/>
    <w:rsid w:val="00252400"/>
    <w:rsid w:val="002525E8"/>
    <w:rsid w:val="002526BD"/>
    <w:rsid w:val="00252807"/>
    <w:rsid w:val="00252B73"/>
    <w:rsid w:val="00252E19"/>
    <w:rsid w:val="00252E73"/>
    <w:rsid w:val="00252F7F"/>
    <w:rsid w:val="00253076"/>
    <w:rsid w:val="002533FB"/>
    <w:rsid w:val="002534AA"/>
    <w:rsid w:val="002534D1"/>
    <w:rsid w:val="002535D8"/>
    <w:rsid w:val="00253866"/>
    <w:rsid w:val="002539A2"/>
    <w:rsid w:val="002539D3"/>
    <w:rsid w:val="00253A14"/>
    <w:rsid w:val="00253A5B"/>
    <w:rsid w:val="00253BED"/>
    <w:rsid w:val="00253CF7"/>
    <w:rsid w:val="00253DD8"/>
    <w:rsid w:val="00254019"/>
    <w:rsid w:val="0025404A"/>
    <w:rsid w:val="002540C9"/>
    <w:rsid w:val="0025416F"/>
    <w:rsid w:val="00254444"/>
    <w:rsid w:val="002544AB"/>
    <w:rsid w:val="002545CD"/>
    <w:rsid w:val="00254AD1"/>
    <w:rsid w:val="00254C8C"/>
    <w:rsid w:val="00255072"/>
    <w:rsid w:val="00255162"/>
    <w:rsid w:val="00255195"/>
    <w:rsid w:val="00255217"/>
    <w:rsid w:val="00255337"/>
    <w:rsid w:val="00255647"/>
    <w:rsid w:val="002556EA"/>
    <w:rsid w:val="00255790"/>
    <w:rsid w:val="00255AF3"/>
    <w:rsid w:val="00255CE7"/>
    <w:rsid w:val="00255DD5"/>
    <w:rsid w:val="00255E40"/>
    <w:rsid w:val="00255E98"/>
    <w:rsid w:val="00255FA0"/>
    <w:rsid w:val="002561D9"/>
    <w:rsid w:val="0025641E"/>
    <w:rsid w:val="0025675A"/>
    <w:rsid w:val="00256A0C"/>
    <w:rsid w:val="00256E1B"/>
    <w:rsid w:val="00256E7E"/>
    <w:rsid w:val="00256EB4"/>
    <w:rsid w:val="0025735E"/>
    <w:rsid w:val="0025736E"/>
    <w:rsid w:val="002574F9"/>
    <w:rsid w:val="0025763B"/>
    <w:rsid w:val="00257715"/>
    <w:rsid w:val="00257898"/>
    <w:rsid w:val="00257CBD"/>
    <w:rsid w:val="00257E87"/>
    <w:rsid w:val="0026012A"/>
    <w:rsid w:val="00260150"/>
    <w:rsid w:val="00260493"/>
    <w:rsid w:val="00260841"/>
    <w:rsid w:val="002608C7"/>
    <w:rsid w:val="00260939"/>
    <w:rsid w:val="00260F91"/>
    <w:rsid w:val="002610F2"/>
    <w:rsid w:val="00261316"/>
    <w:rsid w:val="00261358"/>
    <w:rsid w:val="002615D8"/>
    <w:rsid w:val="00261C0F"/>
    <w:rsid w:val="00261CA1"/>
    <w:rsid w:val="00261D42"/>
    <w:rsid w:val="00262221"/>
    <w:rsid w:val="00262367"/>
    <w:rsid w:val="002625D7"/>
    <w:rsid w:val="00262608"/>
    <w:rsid w:val="00262629"/>
    <w:rsid w:val="00262A6F"/>
    <w:rsid w:val="00262B28"/>
    <w:rsid w:val="00262B76"/>
    <w:rsid w:val="00262BAF"/>
    <w:rsid w:val="00262F71"/>
    <w:rsid w:val="00263058"/>
    <w:rsid w:val="002630A6"/>
    <w:rsid w:val="002633D3"/>
    <w:rsid w:val="00263458"/>
    <w:rsid w:val="002634C5"/>
    <w:rsid w:val="00263555"/>
    <w:rsid w:val="0026364D"/>
    <w:rsid w:val="00263653"/>
    <w:rsid w:val="002636A4"/>
    <w:rsid w:val="002636B6"/>
    <w:rsid w:val="002636BB"/>
    <w:rsid w:val="0026395F"/>
    <w:rsid w:val="00263B93"/>
    <w:rsid w:val="00263C25"/>
    <w:rsid w:val="00263C55"/>
    <w:rsid w:val="00263D64"/>
    <w:rsid w:val="00263EBD"/>
    <w:rsid w:val="0026414E"/>
    <w:rsid w:val="0026424D"/>
    <w:rsid w:val="002642D1"/>
    <w:rsid w:val="00264371"/>
    <w:rsid w:val="0026439E"/>
    <w:rsid w:val="002644B8"/>
    <w:rsid w:val="00264748"/>
    <w:rsid w:val="002648E8"/>
    <w:rsid w:val="00264A53"/>
    <w:rsid w:val="00264AAB"/>
    <w:rsid w:val="00264AD4"/>
    <w:rsid w:val="00264C2B"/>
    <w:rsid w:val="00264C61"/>
    <w:rsid w:val="00265327"/>
    <w:rsid w:val="002654A7"/>
    <w:rsid w:val="00265544"/>
    <w:rsid w:val="002656EC"/>
    <w:rsid w:val="00265887"/>
    <w:rsid w:val="00265A61"/>
    <w:rsid w:val="00265BA2"/>
    <w:rsid w:val="00265C8F"/>
    <w:rsid w:val="00265DDF"/>
    <w:rsid w:val="00265EB2"/>
    <w:rsid w:val="00265F5A"/>
    <w:rsid w:val="00266111"/>
    <w:rsid w:val="0026616B"/>
    <w:rsid w:val="002664C7"/>
    <w:rsid w:val="00266664"/>
    <w:rsid w:val="0026699E"/>
    <w:rsid w:val="00266BC0"/>
    <w:rsid w:val="00266C5B"/>
    <w:rsid w:val="00266E46"/>
    <w:rsid w:val="002672E7"/>
    <w:rsid w:val="00267454"/>
    <w:rsid w:val="002676BF"/>
    <w:rsid w:val="002676CE"/>
    <w:rsid w:val="002676D2"/>
    <w:rsid w:val="002676D6"/>
    <w:rsid w:val="00267865"/>
    <w:rsid w:val="00267A19"/>
    <w:rsid w:val="00267E3E"/>
    <w:rsid w:val="00270073"/>
    <w:rsid w:val="002701EB"/>
    <w:rsid w:val="002705B3"/>
    <w:rsid w:val="002706F3"/>
    <w:rsid w:val="00270740"/>
    <w:rsid w:val="00270AAA"/>
    <w:rsid w:val="00270B1B"/>
    <w:rsid w:val="00270D9E"/>
    <w:rsid w:val="00270F13"/>
    <w:rsid w:val="00270F4A"/>
    <w:rsid w:val="002712EB"/>
    <w:rsid w:val="00271425"/>
    <w:rsid w:val="0027145A"/>
    <w:rsid w:val="0027153D"/>
    <w:rsid w:val="00271553"/>
    <w:rsid w:val="002715B3"/>
    <w:rsid w:val="00271973"/>
    <w:rsid w:val="00271DBB"/>
    <w:rsid w:val="00271DCD"/>
    <w:rsid w:val="00271E50"/>
    <w:rsid w:val="00272009"/>
    <w:rsid w:val="00272136"/>
    <w:rsid w:val="00272312"/>
    <w:rsid w:val="0027246B"/>
    <w:rsid w:val="00272667"/>
    <w:rsid w:val="002727C8"/>
    <w:rsid w:val="0027288B"/>
    <w:rsid w:val="00272CDA"/>
    <w:rsid w:val="00272E05"/>
    <w:rsid w:val="00273176"/>
    <w:rsid w:val="002732EC"/>
    <w:rsid w:val="002733BB"/>
    <w:rsid w:val="002733D9"/>
    <w:rsid w:val="0027347F"/>
    <w:rsid w:val="00273760"/>
    <w:rsid w:val="00273801"/>
    <w:rsid w:val="00273B6E"/>
    <w:rsid w:val="00273D74"/>
    <w:rsid w:val="00273E3F"/>
    <w:rsid w:val="00273F50"/>
    <w:rsid w:val="0027441E"/>
    <w:rsid w:val="00274968"/>
    <w:rsid w:val="00274B70"/>
    <w:rsid w:val="00274C27"/>
    <w:rsid w:val="00274CC7"/>
    <w:rsid w:val="00274CF8"/>
    <w:rsid w:val="00274E96"/>
    <w:rsid w:val="0027500F"/>
    <w:rsid w:val="002751F9"/>
    <w:rsid w:val="002753EA"/>
    <w:rsid w:val="002755FE"/>
    <w:rsid w:val="00275666"/>
    <w:rsid w:val="0027586A"/>
    <w:rsid w:val="00275C16"/>
    <w:rsid w:val="00275DEA"/>
    <w:rsid w:val="00275EB4"/>
    <w:rsid w:val="00275EFD"/>
    <w:rsid w:val="00275FF0"/>
    <w:rsid w:val="00276049"/>
    <w:rsid w:val="002760BC"/>
    <w:rsid w:val="002763D4"/>
    <w:rsid w:val="002763FC"/>
    <w:rsid w:val="00276429"/>
    <w:rsid w:val="0027661D"/>
    <w:rsid w:val="0027670A"/>
    <w:rsid w:val="00276899"/>
    <w:rsid w:val="00276AAC"/>
    <w:rsid w:val="00276E23"/>
    <w:rsid w:val="00276F7F"/>
    <w:rsid w:val="00277137"/>
    <w:rsid w:val="002774FB"/>
    <w:rsid w:val="0027757B"/>
    <w:rsid w:val="002775F5"/>
    <w:rsid w:val="002776AD"/>
    <w:rsid w:val="002776C0"/>
    <w:rsid w:val="002776C8"/>
    <w:rsid w:val="00277766"/>
    <w:rsid w:val="002777D7"/>
    <w:rsid w:val="00277A42"/>
    <w:rsid w:val="00277BD5"/>
    <w:rsid w:val="00277D29"/>
    <w:rsid w:val="00277F13"/>
    <w:rsid w:val="00277FEE"/>
    <w:rsid w:val="0028000E"/>
    <w:rsid w:val="00280092"/>
    <w:rsid w:val="002801EF"/>
    <w:rsid w:val="00280229"/>
    <w:rsid w:val="002802CD"/>
    <w:rsid w:val="002802E5"/>
    <w:rsid w:val="002803DD"/>
    <w:rsid w:val="002807DE"/>
    <w:rsid w:val="0028080D"/>
    <w:rsid w:val="00280E50"/>
    <w:rsid w:val="00280F88"/>
    <w:rsid w:val="00281107"/>
    <w:rsid w:val="002815A8"/>
    <w:rsid w:val="00281650"/>
    <w:rsid w:val="00281906"/>
    <w:rsid w:val="00281BEB"/>
    <w:rsid w:val="00281C5D"/>
    <w:rsid w:val="00281D2D"/>
    <w:rsid w:val="00281DEC"/>
    <w:rsid w:val="00281F12"/>
    <w:rsid w:val="0028232C"/>
    <w:rsid w:val="002823ED"/>
    <w:rsid w:val="002829B9"/>
    <w:rsid w:val="00282AF9"/>
    <w:rsid w:val="00282D37"/>
    <w:rsid w:val="00282E5C"/>
    <w:rsid w:val="00282EF5"/>
    <w:rsid w:val="0028315C"/>
    <w:rsid w:val="00283323"/>
    <w:rsid w:val="00283451"/>
    <w:rsid w:val="0028346B"/>
    <w:rsid w:val="00283649"/>
    <w:rsid w:val="00283731"/>
    <w:rsid w:val="0028375C"/>
    <w:rsid w:val="0028384C"/>
    <w:rsid w:val="002839BB"/>
    <w:rsid w:val="00283D4D"/>
    <w:rsid w:val="00283DF0"/>
    <w:rsid w:val="00283F80"/>
    <w:rsid w:val="00284167"/>
    <w:rsid w:val="0028421C"/>
    <w:rsid w:val="00284344"/>
    <w:rsid w:val="002844D5"/>
    <w:rsid w:val="00284943"/>
    <w:rsid w:val="00284C97"/>
    <w:rsid w:val="0028506D"/>
    <w:rsid w:val="0028506E"/>
    <w:rsid w:val="002850F3"/>
    <w:rsid w:val="0028510E"/>
    <w:rsid w:val="00285289"/>
    <w:rsid w:val="00285563"/>
    <w:rsid w:val="002856EF"/>
    <w:rsid w:val="002859B1"/>
    <w:rsid w:val="00285A3A"/>
    <w:rsid w:val="00285AE0"/>
    <w:rsid w:val="00285C8D"/>
    <w:rsid w:val="00285D8C"/>
    <w:rsid w:val="00285E88"/>
    <w:rsid w:val="002860A0"/>
    <w:rsid w:val="002860AE"/>
    <w:rsid w:val="00286144"/>
    <w:rsid w:val="00286150"/>
    <w:rsid w:val="0028628F"/>
    <w:rsid w:val="0028632C"/>
    <w:rsid w:val="00286469"/>
    <w:rsid w:val="002864F7"/>
    <w:rsid w:val="00286CB3"/>
    <w:rsid w:val="00286F5A"/>
    <w:rsid w:val="00286F90"/>
    <w:rsid w:val="00286FAB"/>
    <w:rsid w:val="00287630"/>
    <w:rsid w:val="0028776E"/>
    <w:rsid w:val="0028789C"/>
    <w:rsid w:val="002878CF"/>
    <w:rsid w:val="00287975"/>
    <w:rsid w:val="00287CA0"/>
    <w:rsid w:val="00287F36"/>
    <w:rsid w:val="002900BB"/>
    <w:rsid w:val="002904BC"/>
    <w:rsid w:val="002904C4"/>
    <w:rsid w:val="0029085F"/>
    <w:rsid w:val="00290CEE"/>
    <w:rsid w:val="002911D4"/>
    <w:rsid w:val="00291344"/>
    <w:rsid w:val="00291404"/>
    <w:rsid w:val="002916D9"/>
    <w:rsid w:val="002916DE"/>
    <w:rsid w:val="00291703"/>
    <w:rsid w:val="00291756"/>
    <w:rsid w:val="002918F2"/>
    <w:rsid w:val="00291927"/>
    <w:rsid w:val="00291977"/>
    <w:rsid w:val="00291A5B"/>
    <w:rsid w:val="00291BAD"/>
    <w:rsid w:val="00291BE5"/>
    <w:rsid w:val="00291D9F"/>
    <w:rsid w:val="00291E39"/>
    <w:rsid w:val="00291F58"/>
    <w:rsid w:val="002920A8"/>
    <w:rsid w:val="0029212B"/>
    <w:rsid w:val="00292227"/>
    <w:rsid w:val="0029235F"/>
    <w:rsid w:val="00292512"/>
    <w:rsid w:val="002925AA"/>
    <w:rsid w:val="00292835"/>
    <w:rsid w:val="00292C5C"/>
    <w:rsid w:val="00292DDD"/>
    <w:rsid w:val="00292E2D"/>
    <w:rsid w:val="00293040"/>
    <w:rsid w:val="0029305D"/>
    <w:rsid w:val="0029308D"/>
    <w:rsid w:val="0029309C"/>
    <w:rsid w:val="0029311E"/>
    <w:rsid w:val="00293304"/>
    <w:rsid w:val="002935D4"/>
    <w:rsid w:val="002936A2"/>
    <w:rsid w:val="00293851"/>
    <w:rsid w:val="00293A58"/>
    <w:rsid w:val="00293A59"/>
    <w:rsid w:val="00293C19"/>
    <w:rsid w:val="00293CE8"/>
    <w:rsid w:val="002940E2"/>
    <w:rsid w:val="0029413F"/>
    <w:rsid w:val="0029475A"/>
    <w:rsid w:val="00294797"/>
    <w:rsid w:val="0029482C"/>
    <w:rsid w:val="002948CC"/>
    <w:rsid w:val="00294AC1"/>
    <w:rsid w:val="00294B65"/>
    <w:rsid w:val="00294F0E"/>
    <w:rsid w:val="002950F3"/>
    <w:rsid w:val="00295699"/>
    <w:rsid w:val="00295A66"/>
    <w:rsid w:val="00295B8A"/>
    <w:rsid w:val="0029635B"/>
    <w:rsid w:val="002963FE"/>
    <w:rsid w:val="0029647B"/>
    <w:rsid w:val="0029668C"/>
    <w:rsid w:val="002968DF"/>
    <w:rsid w:val="00296AE1"/>
    <w:rsid w:val="00296B22"/>
    <w:rsid w:val="00296BC2"/>
    <w:rsid w:val="00297195"/>
    <w:rsid w:val="002972DE"/>
    <w:rsid w:val="00297396"/>
    <w:rsid w:val="0029771C"/>
    <w:rsid w:val="00297746"/>
    <w:rsid w:val="002977AB"/>
    <w:rsid w:val="002977AE"/>
    <w:rsid w:val="002977E9"/>
    <w:rsid w:val="002977F7"/>
    <w:rsid w:val="00297972"/>
    <w:rsid w:val="00297A64"/>
    <w:rsid w:val="00297B00"/>
    <w:rsid w:val="00297D4A"/>
    <w:rsid w:val="00297E20"/>
    <w:rsid w:val="00297EE2"/>
    <w:rsid w:val="00297FE7"/>
    <w:rsid w:val="002A010A"/>
    <w:rsid w:val="002A0342"/>
    <w:rsid w:val="002A062C"/>
    <w:rsid w:val="002A0C57"/>
    <w:rsid w:val="002A0DEA"/>
    <w:rsid w:val="002A101E"/>
    <w:rsid w:val="002A1096"/>
    <w:rsid w:val="002A118F"/>
    <w:rsid w:val="002A11E1"/>
    <w:rsid w:val="002A142F"/>
    <w:rsid w:val="002A16DE"/>
    <w:rsid w:val="002A16EB"/>
    <w:rsid w:val="002A1A8F"/>
    <w:rsid w:val="002A1ED6"/>
    <w:rsid w:val="002A2178"/>
    <w:rsid w:val="002A23C6"/>
    <w:rsid w:val="002A25D1"/>
    <w:rsid w:val="002A27F5"/>
    <w:rsid w:val="002A2913"/>
    <w:rsid w:val="002A29E6"/>
    <w:rsid w:val="002A2F8C"/>
    <w:rsid w:val="002A2FCD"/>
    <w:rsid w:val="002A322E"/>
    <w:rsid w:val="002A36C4"/>
    <w:rsid w:val="002A39F5"/>
    <w:rsid w:val="002A3C4A"/>
    <w:rsid w:val="002A3C7F"/>
    <w:rsid w:val="002A3D30"/>
    <w:rsid w:val="002A3D37"/>
    <w:rsid w:val="002A3DEB"/>
    <w:rsid w:val="002A3EAD"/>
    <w:rsid w:val="002A3FB8"/>
    <w:rsid w:val="002A4319"/>
    <w:rsid w:val="002A44A7"/>
    <w:rsid w:val="002A46EE"/>
    <w:rsid w:val="002A484F"/>
    <w:rsid w:val="002A4A1D"/>
    <w:rsid w:val="002A4AE5"/>
    <w:rsid w:val="002A4C57"/>
    <w:rsid w:val="002A4CC4"/>
    <w:rsid w:val="002A4D8C"/>
    <w:rsid w:val="002A4D95"/>
    <w:rsid w:val="002A4ED3"/>
    <w:rsid w:val="002A4FE2"/>
    <w:rsid w:val="002A502D"/>
    <w:rsid w:val="002A519E"/>
    <w:rsid w:val="002A5204"/>
    <w:rsid w:val="002A5526"/>
    <w:rsid w:val="002A55F3"/>
    <w:rsid w:val="002A5AF5"/>
    <w:rsid w:val="002A5B78"/>
    <w:rsid w:val="002A5D84"/>
    <w:rsid w:val="002A5F9E"/>
    <w:rsid w:val="002A64C2"/>
    <w:rsid w:val="002A64DE"/>
    <w:rsid w:val="002A685B"/>
    <w:rsid w:val="002A6C32"/>
    <w:rsid w:val="002A6E6A"/>
    <w:rsid w:val="002A6ECA"/>
    <w:rsid w:val="002A6F04"/>
    <w:rsid w:val="002A6FFB"/>
    <w:rsid w:val="002A70EE"/>
    <w:rsid w:val="002A7352"/>
    <w:rsid w:val="002A7392"/>
    <w:rsid w:val="002A7433"/>
    <w:rsid w:val="002A756B"/>
    <w:rsid w:val="002A7793"/>
    <w:rsid w:val="002A78DA"/>
    <w:rsid w:val="002A7CBD"/>
    <w:rsid w:val="002A7E0D"/>
    <w:rsid w:val="002A7E0F"/>
    <w:rsid w:val="002A7FBE"/>
    <w:rsid w:val="002B019F"/>
    <w:rsid w:val="002B01E8"/>
    <w:rsid w:val="002B0436"/>
    <w:rsid w:val="002B0717"/>
    <w:rsid w:val="002B078A"/>
    <w:rsid w:val="002B0C57"/>
    <w:rsid w:val="002B0E1E"/>
    <w:rsid w:val="002B0F43"/>
    <w:rsid w:val="002B0FAF"/>
    <w:rsid w:val="002B10B0"/>
    <w:rsid w:val="002B1444"/>
    <w:rsid w:val="002B158D"/>
    <w:rsid w:val="002B16B5"/>
    <w:rsid w:val="002B17E1"/>
    <w:rsid w:val="002B185F"/>
    <w:rsid w:val="002B1AB1"/>
    <w:rsid w:val="002B1FF4"/>
    <w:rsid w:val="002B24BD"/>
    <w:rsid w:val="002B24E8"/>
    <w:rsid w:val="002B25E6"/>
    <w:rsid w:val="002B2797"/>
    <w:rsid w:val="002B282D"/>
    <w:rsid w:val="002B2938"/>
    <w:rsid w:val="002B29C4"/>
    <w:rsid w:val="002B2A80"/>
    <w:rsid w:val="002B2D47"/>
    <w:rsid w:val="002B2E5A"/>
    <w:rsid w:val="002B318D"/>
    <w:rsid w:val="002B3210"/>
    <w:rsid w:val="002B3252"/>
    <w:rsid w:val="002B32E8"/>
    <w:rsid w:val="002B341F"/>
    <w:rsid w:val="002B360A"/>
    <w:rsid w:val="002B36B6"/>
    <w:rsid w:val="002B37F1"/>
    <w:rsid w:val="002B386A"/>
    <w:rsid w:val="002B3AD7"/>
    <w:rsid w:val="002B3B2A"/>
    <w:rsid w:val="002B3D06"/>
    <w:rsid w:val="002B3E34"/>
    <w:rsid w:val="002B3EC5"/>
    <w:rsid w:val="002B3EFC"/>
    <w:rsid w:val="002B3F64"/>
    <w:rsid w:val="002B4171"/>
    <w:rsid w:val="002B4238"/>
    <w:rsid w:val="002B4256"/>
    <w:rsid w:val="002B484B"/>
    <w:rsid w:val="002B4980"/>
    <w:rsid w:val="002B4A5D"/>
    <w:rsid w:val="002B4AAA"/>
    <w:rsid w:val="002B4AC4"/>
    <w:rsid w:val="002B4E9B"/>
    <w:rsid w:val="002B5015"/>
    <w:rsid w:val="002B5033"/>
    <w:rsid w:val="002B508B"/>
    <w:rsid w:val="002B5331"/>
    <w:rsid w:val="002B5354"/>
    <w:rsid w:val="002B577B"/>
    <w:rsid w:val="002B57C1"/>
    <w:rsid w:val="002B5818"/>
    <w:rsid w:val="002B5977"/>
    <w:rsid w:val="002B5983"/>
    <w:rsid w:val="002B5B46"/>
    <w:rsid w:val="002B5C25"/>
    <w:rsid w:val="002B5C47"/>
    <w:rsid w:val="002B5CA0"/>
    <w:rsid w:val="002B5DBE"/>
    <w:rsid w:val="002B5EC9"/>
    <w:rsid w:val="002B5F3B"/>
    <w:rsid w:val="002B5F46"/>
    <w:rsid w:val="002B60D3"/>
    <w:rsid w:val="002B6139"/>
    <w:rsid w:val="002B6245"/>
    <w:rsid w:val="002B64A8"/>
    <w:rsid w:val="002B66DF"/>
    <w:rsid w:val="002B6726"/>
    <w:rsid w:val="002B6753"/>
    <w:rsid w:val="002B68D1"/>
    <w:rsid w:val="002B68E7"/>
    <w:rsid w:val="002B6916"/>
    <w:rsid w:val="002B6947"/>
    <w:rsid w:val="002B69A3"/>
    <w:rsid w:val="002B6A2E"/>
    <w:rsid w:val="002B6A5F"/>
    <w:rsid w:val="002B6B67"/>
    <w:rsid w:val="002B6BE1"/>
    <w:rsid w:val="002B6F33"/>
    <w:rsid w:val="002B7065"/>
    <w:rsid w:val="002B7094"/>
    <w:rsid w:val="002B70AF"/>
    <w:rsid w:val="002B72A6"/>
    <w:rsid w:val="002B7330"/>
    <w:rsid w:val="002B744B"/>
    <w:rsid w:val="002B75B5"/>
    <w:rsid w:val="002B785E"/>
    <w:rsid w:val="002B78A1"/>
    <w:rsid w:val="002B7B84"/>
    <w:rsid w:val="002C0193"/>
    <w:rsid w:val="002C023D"/>
    <w:rsid w:val="002C0295"/>
    <w:rsid w:val="002C0547"/>
    <w:rsid w:val="002C078F"/>
    <w:rsid w:val="002C07B9"/>
    <w:rsid w:val="002C1010"/>
    <w:rsid w:val="002C1015"/>
    <w:rsid w:val="002C126A"/>
    <w:rsid w:val="002C16C0"/>
    <w:rsid w:val="002C19D7"/>
    <w:rsid w:val="002C1AD1"/>
    <w:rsid w:val="002C1BF5"/>
    <w:rsid w:val="002C202D"/>
    <w:rsid w:val="002C20B9"/>
    <w:rsid w:val="002C2154"/>
    <w:rsid w:val="002C23C9"/>
    <w:rsid w:val="002C23D1"/>
    <w:rsid w:val="002C267B"/>
    <w:rsid w:val="002C26AF"/>
    <w:rsid w:val="002C26BB"/>
    <w:rsid w:val="002C27FB"/>
    <w:rsid w:val="002C29E6"/>
    <w:rsid w:val="002C2B27"/>
    <w:rsid w:val="002C2BE9"/>
    <w:rsid w:val="002C2FAE"/>
    <w:rsid w:val="002C3124"/>
    <w:rsid w:val="002C3353"/>
    <w:rsid w:val="002C3397"/>
    <w:rsid w:val="002C3479"/>
    <w:rsid w:val="002C34A6"/>
    <w:rsid w:val="002C3541"/>
    <w:rsid w:val="002C391C"/>
    <w:rsid w:val="002C39BD"/>
    <w:rsid w:val="002C3C77"/>
    <w:rsid w:val="002C3D14"/>
    <w:rsid w:val="002C3D64"/>
    <w:rsid w:val="002C3D86"/>
    <w:rsid w:val="002C3FFA"/>
    <w:rsid w:val="002C404A"/>
    <w:rsid w:val="002C422B"/>
    <w:rsid w:val="002C42A5"/>
    <w:rsid w:val="002C42AE"/>
    <w:rsid w:val="002C42DA"/>
    <w:rsid w:val="002C4436"/>
    <w:rsid w:val="002C454E"/>
    <w:rsid w:val="002C4611"/>
    <w:rsid w:val="002C49FF"/>
    <w:rsid w:val="002C50F5"/>
    <w:rsid w:val="002C5136"/>
    <w:rsid w:val="002C526B"/>
    <w:rsid w:val="002C5617"/>
    <w:rsid w:val="002C5821"/>
    <w:rsid w:val="002C5894"/>
    <w:rsid w:val="002C5BEE"/>
    <w:rsid w:val="002C5D9D"/>
    <w:rsid w:val="002C6086"/>
    <w:rsid w:val="002C6255"/>
    <w:rsid w:val="002C6330"/>
    <w:rsid w:val="002C6958"/>
    <w:rsid w:val="002C69EA"/>
    <w:rsid w:val="002C6B26"/>
    <w:rsid w:val="002C6CF8"/>
    <w:rsid w:val="002C6D32"/>
    <w:rsid w:val="002C6DBD"/>
    <w:rsid w:val="002C70B2"/>
    <w:rsid w:val="002C727C"/>
    <w:rsid w:val="002C7436"/>
    <w:rsid w:val="002C7932"/>
    <w:rsid w:val="002C79EC"/>
    <w:rsid w:val="002C7A90"/>
    <w:rsid w:val="002C7F92"/>
    <w:rsid w:val="002D002D"/>
    <w:rsid w:val="002D00B6"/>
    <w:rsid w:val="002D0297"/>
    <w:rsid w:val="002D03F3"/>
    <w:rsid w:val="002D0755"/>
    <w:rsid w:val="002D090A"/>
    <w:rsid w:val="002D09A8"/>
    <w:rsid w:val="002D0AFE"/>
    <w:rsid w:val="002D0C37"/>
    <w:rsid w:val="002D0CE7"/>
    <w:rsid w:val="002D0E0B"/>
    <w:rsid w:val="002D12D4"/>
    <w:rsid w:val="002D14E4"/>
    <w:rsid w:val="002D1527"/>
    <w:rsid w:val="002D156C"/>
    <w:rsid w:val="002D1645"/>
    <w:rsid w:val="002D1874"/>
    <w:rsid w:val="002D1B00"/>
    <w:rsid w:val="002D1B4D"/>
    <w:rsid w:val="002D1D4C"/>
    <w:rsid w:val="002D1F37"/>
    <w:rsid w:val="002D216A"/>
    <w:rsid w:val="002D21A9"/>
    <w:rsid w:val="002D2280"/>
    <w:rsid w:val="002D23A5"/>
    <w:rsid w:val="002D2445"/>
    <w:rsid w:val="002D2565"/>
    <w:rsid w:val="002D26DB"/>
    <w:rsid w:val="002D27F9"/>
    <w:rsid w:val="002D28F8"/>
    <w:rsid w:val="002D29CD"/>
    <w:rsid w:val="002D2A33"/>
    <w:rsid w:val="002D2A74"/>
    <w:rsid w:val="002D2AB2"/>
    <w:rsid w:val="002D2F8A"/>
    <w:rsid w:val="002D30CA"/>
    <w:rsid w:val="002D321E"/>
    <w:rsid w:val="002D33B0"/>
    <w:rsid w:val="002D34B5"/>
    <w:rsid w:val="002D36EA"/>
    <w:rsid w:val="002D3705"/>
    <w:rsid w:val="002D3876"/>
    <w:rsid w:val="002D3AB9"/>
    <w:rsid w:val="002D3B22"/>
    <w:rsid w:val="002D3B6A"/>
    <w:rsid w:val="002D3BA4"/>
    <w:rsid w:val="002D3E3D"/>
    <w:rsid w:val="002D3E91"/>
    <w:rsid w:val="002D400B"/>
    <w:rsid w:val="002D499C"/>
    <w:rsid w:val="002D49C3"/>
    <w:rsid w:val="002D4B76"/>
    <w:rsid w:val="002D4BB8"/>
    <w:rsid w:val="002D4C21"/>
    <w:rsid w:val="002D4D5F"/>
    <w:rsid w:val="002D4D76"/>
    <w:rsid w:val="002D4DC9"/>
    <w:rsid w:val="002D4E33"/>
    <w:rsid w:val="002D4E79"/>
    <w:rsid w:val="002D4E90"/>
    <w:rsid w:val="002D5008"/>
    <w:rsid w:val="002D53CE"/>
    <w:rsid w:val="002D5434"/>
    <w:rsid w:val="002D5478"/>
    <w:rsid w:val="002D55EA"/>
    <w:rsid w:val="002D561A"/>
    <w:rsid w:val="002D56C2"/>
    <w:rsid w:val="002D579A"/>
    <w:rsid w:val="002D5933"/>
    <w:rsid w:val="002D5A00"/>
    <w:rsid w:val="002D5AD8"/>
    <w:rsid w:val="002D5B64"/>
    <w:rsid w:val="002D5CBA"/>
    <w:rsid w:val="002D6087"/>
    <w:rsid w:val="002D625A"/>
    <w:rsid w:val="002D626F"/>
    <w:rsid w:val="002D62A2"/>
    <w:rsid w:val="002D65C6"/>
    <w:rsid w:val="002D65D8"/>
    <w:rsid w:val="002D6715"/>
    <w:rsid w:val="002D69E9"/>
    <w:rsid w:val="002D6AE1"/>
    <w:rsid w:val="002D6CF7"/>
    <w:rsid w:val="002D6D4E"/>
    <w:rsid w:val="002D7201"/>
    <w:rsid w:val="002D7439"/>
    <w:rsid w:val="002D75D1"/>
    <w:rsid w:val="002D7836"/>
    <w:rsid w:val="002D7A98"/>
    <w:rsid w:val="002D7D11"/>
    <w:rsid w:val="002E021B"/>
    <w:rsid w:val="002E022F"/>
    <w:rsid w:val="002E02FB"/>
    <w:rsid w:val="002E03FB"/>
    <w:rsid w:val="002E04FA"/>
    <w:rsid w:val="002E0862"/>
    <w:rsid w:val="002E0903"/>
    <w:rsid w:val="002E0931"/>
    <w:rsid w:val="002E0946"/>
    <w:rsid w:val="002E0F4A"/>
    <w:rsid w:val="002E1019"/>
    <w:rsid w:val="002E11B6"/>
    <w:rsid w:val="002E1272"/>
    <w:rsid w:val="002E12A3"/>
    <w:rsid w:val="002E14DB"/>
    <w:rsid w:val="002E18BA"/>
    <w:rsid w:val="002E1AE3"/>
    <w:rsid w:val="002E1B2B"/>
    <w:rsid w:val="002E1C30"/>
    <w:rsid w:val="002E1DC5"/>
    <w:rsid w:val="002E1E50"/>
    <w:rsid w:val="002E2588"/>
    <w:rsid w:val="002E26D0"/>
    <w:rsid w:val="002E276C"/>
    <w:rsid w:val="002E2837"/>
    <w:rsid w:val="002E285A"/>
    <w:rsid w:val="002E29DB"/>
    <w:rsid w:val="002E2E89"/>
    <w:rsid w:val="002E300A"/>
    <w:rsid w:val="002E3123"/>
    <w:rsid w:val="002E3233"/>
    <w:rsid w:val="002E335F"/>
    <w:rsid w:val="002E3387"/>
    <w:rsid w:val="002E360E"/>
    <w:rsid w:val="002E37CB"/>
    <w:rsid w:val="002E3B86"/>
    <w:rsid w:val="002E3CF4"/>
    <w:rsid w:val="002E3D1C"/>
    <w:rsid w:val="002E3DC6"/>
    <w:rsid w:val="002E40FF"/>
    <w:rsid w:val="002E41C0"/>
    <w:rsid w:val="002E41D2"/>
    <w:rsid w:val="002E425F"/>
    <w:rsid w:val="002E45B0"/>
    <w:rsid w:val="002E45CB"/>
    <w:rsid w:val="002E45CC"/>
    <w:rsid w:val="002E467C"/>
    <w:rsid w:val="002E4737"/>
    <w:rsid w:val="002E486D"/>
    <w:rsid w:val="002E48BE"/>
    <w:rsid w:val="002E494D"/>
    <w:rsid w:val="002E4B91"/>
    <w:rsid w:val="002E4D36"/>
    <w:rsid w:val="002E4D79"/>
    <w:rsid w:val="002E5313"/>
    <w:rsid w:val="002E5377"/>
    <w:rsid w:val="002E5434"/>
    <w:rsid w:val="002E54A2"/>
    <w:rsid w:val="002E5614"/>
    <w:rsid w:val="002E5620"/>
    <w:rsid w:val="002E58B3"/>
    <w:rsid w:val="002E58FD"/>
    <w:rsid w:val="002E6221"/>
    <w:rsid w:val="002E62FF"/>
    <w:rsid w:val="002E6548"/>
    <w:rsid w:val="002E656F"/>
    <w:rsid w:val="002E6735"/>
    <w:rsid w:val="002E6806"/>
    <w:rsid w:val="002E6ABA"/>
    <w:rsid w:val="002E6E95"/>
    <w:rsid w:val="002E701D"/>
    <w:rsid w:val="002E7265"/>
    <w:rsid w:val="002E72C1"/>
    <w:rsid w:val="002E7835"/>
    <w:rsid w:val="002E7970"/>
    <w:rsid w:val="002E7A02"/>
    <w:rsid w:val="002E7A34"/>
    <w:rsid w:val="002E7F35"/>
    <w:rsid w:val="002F0055"/>
    <w:rsid w:val="002F02C2"/>
    <w:rsid w:val="002F0517"/>
    <w:rsid w:val="002F061C"/>
    <w:rsid w:val="002F0661"/>
    <w:rsid w:val="002F06DA"/>
    <w:rsid w:val="002F09AC"/>
    <w:rsid w:val="002F0A90"/>
    <w:rsid w:val="002F0CFD"/>
    <w:rsid w:val="002F0D54"/>
    <w:rsid w:val="002F0E76"/>
    <w:rsid w:val="002F0FA2"/>
    <w:rsid w:val="002F1133"/>
    <w:rsid w:val="002F13A8"/>
    <w:rsid w:val="002F1662"/>
    <w:rsid w:val="002F16DC"/>
    <w:rsid w:val="002F187B"/>
    <w:rsid w:val="002F18D6"/>
    <w:rsid w:val="002F1AAD"/>
    <w:rsid w:val="002F1BD6"/>
    <w:rsid w:val="002F1C0B"/>
    <w:rsid w:val="002F2051"/>
    <w:rsid w:val="002F206F"/>
    <w:rsid w:val="002F21F8"/>
    <w:rsid w:val="002F2550"/>
    <w:rsid w:val="002F25D3"/>
    <w:rsid w:val="002F270F"/>
    <w:rsid w:val="002F27E3"/>
    <w:rsid w:val="002F28C0"/>
    <w:rsid w:val="002F2A43"/>
    <w:rsid w:val="002F2B88"/>
    <w:rsid w:val="002F2C70"/>
    <w:rsid w:val="002F2CA4"/>
    <w:rsid w:val="002F2D1E"/>
    <w:rsid w:val="002F2DED"/>
    <w:rsid w:val="002F2E5E"/>
    <w:rsid w:val="002F2F8D"/>
    <w:rsid w:val="002F318A"/>
    <w:rsid w:val="002F3213"/>
    <w:rsid w:val="002F3473"/>
    <w:rsid w:val="002F353B"/>
    <w:rsid w:val="002F368A"/>
    <w:rsid w:val="002F3758"/>
    <w:rsid w:val="002F3772"/>
    <w:rsid w:val="002F378F"/>
    <w:rsid w:val="002F37F8"/>
    <w:rsid w:val="002F39C8"/>
    <w:rsid w:val="002F3B48"/>
    <w:rsid w:val="002F3BEA"/>
    <w:rsid w:val="002F3E45"/>
    <w:rsid w:val="002F43A2"/>
    <w:rsid w:val="002F43AE"/>
    <w:rsid w:val="002F440F"/>
    <w:rsid w:val="002F4461"/>
    <w:rsid w:val="002F45F2"/>
    <w:rsid w:val="002F4612"/>
    <w:rsid w:val="002F463D"/>
    <w:rsid w:val="002F46D7"/>
    <w:rsid w:val="002F4AF8"/>
    <w:rsid w:val="002F4D56"/>
    <w:rsid w:val="002F4F34"/>
    <w:rsid w:val="002F50D1"/>
    <w:rsid w:val="002F5142"/>
    <w:rsid w:val="002F55ED"/>
    <w:rsid w:val="002F575E"/>
    <w:rsid w:val="002F57BB"/>
    <w:rsid w:val="002F57C4"/>
    <w:rsid w:val="002F5972"/>
    <w:rsid w:val="002F5AD0"/>
    <w:rsid w:val="002F5AEB"/>
    <w:rsid w:val="002F5AF3"/>
    <w:rsid w:val="002F5EC5"/>
    <w:rsid w:val="002F5F8F"/>
    <w:rsid w:val="002F5F92"/>
    <w:rsid w:val="002F6010"/>
    <w:rsid w:val="002F60CE"/>
    <w:rsid w:val="002F62A1"/>
    <w:rsid w:val="002F632E"/>
    <w:rsid w:val="002F684B"/>
    <w:rsid w:val="002F6A2A"/>
    <w:rsid w:val="002F6A9F"/>
    <w:rsid w:val="002F6D67"/>
    <w:rsid w:val="002F7073"/>
    <w:rsid w:val="002F714C"/>
    <w:rsid w:val="002F72CB"/>
    <w:rsid w:val="002F73EF"/>
    <w:rsid w:val="002F7426"/>
    <w:rsid w:val="002F7534"/>
    <w:rsid w:val="002F7600"/>
    <w:rsid w:val="002F7974"/>
    <w:rsid w:val="002F7C6F"/>
    <w:rsid w:val="002F7C92"/>
    <w:rsid w:val="002F7CAF"/>
    <w:rsid w:val="00300149"/>
    <w:rsid w:val="0030029E"/>
    <w:rsid w:val="003002AC"/>
    <w:rsid w:val="00300408"/>
    <w:rsid w:val="003004C1"/>
    <w:rsid w:val="00300CCC"/>
    <w:rsid w:val="0030101B"/>
    <w:rsid w:val="003011B8"/>
    <w:rsid w:val="003011D1"/>
    <w:rsid w:val="00301255"/>
    <w:rsid w:val="00301521"/>
    <w:rsid w:val="003015A0"/>
    <w:rsid w:val="003017B7"/>
    <w:rsid w:val="00301B77"/>
    <w:rsid w:val="00301D5D"/>
    <w:rsid w:val="00301F7D"/>
    <w:rsid w:val="00301FA6"/>
    <w:rsid w:val="00302424"/>
    <w:rsid w:val="003024EB"/>
    <w:rsid w:val="00302581"/>
    <w:rsid w:val="0030276F"/>
    <w:rsid w:val="00302807"/>
    <w:rsid w:val="00302A8F"/>
    <w:rsid w:val="00302B16"/>
    <w:rsid w:val="00302B33"/>
    <w:rsid w:val="00302DDF"/>
    <w:rsid w:val="003030CD"/>
    <w:rsid w:val="00303501"/>
    <w:rsid w:val="003035CA"/>
    <w:rsid w:val="003037F9"/>
    <w:rsid w:val="00303D43"/>
    <w:rsid w:val="0030400C"/>
    <w:rsid w:val="003047E5"/>
    <w:rsid w:val="003048AF"/>
    <w:rsid w:val="0030493D"/>
    <w:rsid w:val="003049F6"/>
    <w:rsid w:val="00304A27"/>
    <w:rsid w:val="00304E1A"/>
    <w:rsid w:val="00304F95"/>
    <w:rsid w:val="00304FE6"/>
    <w:rsid w:val="003052F9"/>
    <w:rsid w:val="003052FE"/>
    <w:rsid w:val="0030531C"/>
    <w:rsid w:val="00305359"/>
    <w:rsid w:val="00305412"/>
    <w:rsid w:val="003056A2"/>
    <w:rsid w:val="00305B38"/>
    <w:rsid w:val="00305B7F"/>
    <w:rsid w:val="00305B93"/>
    <w:rsid w:val="00305C35"/>
    <w:rsid w:val="00305D9A"/>
    <w:rsid w:val="00305FF0"/>
    <w:rsid w:val="0030618E"/>
    <w:rsid w:val="00306265"/>
    <w:rsid w:val="00306525"/>
    <w:rsid w:val="00306572"/>
    <w:rsid w:val="0030690D"/>
    <w:rsid w:val="0030690E"/>
    <w:rsid w:val="00306AC1"/>
    <w:rsid w:val="00306BC9"/>
    <w:rsid w:val="00306D26"/>
    <w:rsid w:val="00306F00"/>
    <w:rsid w:val="00307047"/>
    <w:rsid w:val="003070EE"/>
    <w:rsid w:val="00307684"/>
    <w:rsid w:val="0030776A"/>
    <w:rsid w:val="00307A2F"/>
    <w:rsid w:val="00307CD3"/>
    <w:rsid w:val="00307F44"/>
    <w:rsid w:val="00307F64"/>
    <w:rsid w:val="003100E1"/>
    <w:rsid w:val="00310143"/>
    <w:rsid w:val="00310289"/>
    <w:rsid w:val="00310351"/>
    <w:rsid w:val="00310416"/>
    <w:rsid w:val="0031041D"/>
    <w:rsid w:val="003104D2"/>
    <w:rsid w:val="00310526"/>
    <w:rsid w:val="003105AB"/>
    <w:rsid w:val="0031071C"/>
    <w:rsid w:val="00310951"/>
    <w:rsid w:val="00310A71"/>
    <w:rsid w:val="00310B51"/>
    <w:rsid w:val="00310ED7"/>
    <w:rsid w:val="003112CA"/>
    <w:rsid w:val="00311366"/>
    <w:rsid w:val="0031157D"/>
    <w:rsid w:val="003115DF"/>
    <w:rsid w:val="0031161B"/>
    <w:rsid w:val="003116CE"/>
    <w:rsid w:val="00311713"/>
    <w:rsid w:val="00311939"/>
    <w:rsid w:val="003119DA"/>
    <w:rsid w:val="00311A65"/>
    <w:rsid w:val="00311EFE"/>
    <w:rsid w:val="0031202F"/>
    <w:rsid w:val="00312080"/>
    <w:rsid w:val="00312235"/>
    <w:rsid w:val="00312248"/>
    <w:rsid w:val="00312282"/>
    <w:rsid w:val="003122A6"/>
    <w:rsid w:val="00312597"/>
    <w:rsid w:val="003126AC"/>
    <w:rsid w:val="003126BD"/>
    <w:rsid w:val="003126EE"/>
    <w:rsid w:val="003127EE"/>
    <w:rsid w:val="00312844"/>
    <w:rsid w:val="00312A08"/>
    <w:rsid w:val="00312B77"/>
    <w:rsid w:val="00312EAE"/>
    <w:rsid w:val="00312F18"/>
    <w:rsid w:val="00312F80"/>
    <w:rsid w:val="00313084"/>
    <w:rsid w:val="00313105"/>
    <w:rsid w:val="00313125"/>
    <w:rsid w:val="00313170"/>
    <w:rsid w:val="00313349"/>
    <w:rsid w:val="003133DF"/>
    <w:rsid w:val="003134AD"/>
    <w:rsid w:val="00313B96"/>
    <w:rsid w:val="00313D5C"/>
    <w:rsid w:val="00313DCE"/>
    <w:rsid w:val="00313E0A"/>
    <w:rsid w:val="00313EAA"/>
    <w:rsid w:val="00314167"/>
    <w:rsid w:val="00314170"/>
    <w:rsid w:val="0031449B"/>
    <w:rsid w:val="003147FF"/>
    <w:rsid w:val="003148E0"/>
    <w:rsid w:val="00314F98"/>
    <w:rsid w:val="00315008"/>
    <w:rsid w:val="00315500"/>
    <w:rsid w:val="003155EF"/>
    <w:rsid w:val="00315717"/>
    <w:rsid w:val="00315768"/>
    <w:rsid w:val="00315948"/>
    <w:rsid w:val="00315A0A"/>
    <w:rsid w:val="00315B6C"/>
    <w:rsid w:val="00315C38"/>
    <w:rsid w:val="00315D61"/>
    <w:rsid w:val="003160A2"/>
    <w:rsid w:val="003160D4"/>
    <w:rsid w:val="0031636A"/>
    <w:rsid w:val="0031664A"/>
    <w:rsid w:val="003166A6"/>
    <w:rsid w:val="003168ED"/>
    <w:rsid w:val="003169AD"/>
    <w:rsid w:val="00317074"/>
    <w:rsid w:val="0031718B"/>
    <w:rsid w:val="00317255"/>
    <w:rsid w:val="00317260"/>
    <w:rsid w:val="00317416"/>
    <w:rsid w:val="00317653"/>
    <w:rsid w:val="00317893"/>
    <w:rsid w:val="003179F3"/>
    <w:rsid w:val="00317C0C"/>
    <w:rsid w:val="00317D45"/>
    <w:rsid w:val="00317D8E"/>
    <w:rsid w:val="00317D9E"/>
    <w:rsid w:val="00317DC3"/>
    <w:rsid w:val="00317E51"/>
    <w:rsid w:val="00317EDC"/>
    <w:rsid w:val="00317FFC"/>
    <w:rsid w:val="0032027F"/>
    <w:rsid w:val="003202D1"/>
    <w:rsid w:val="003204B6"/>
    <w:rsid w:val="003204EA"/>
    <w:rsid w:val="00320558"/>
    <w:rsid w:val="00320A8A"/>
    <w:rsid w:val="00320A9F"/>
    <w:rsid w:val="00320ECF"/>
    <w:rsid w:val="0032101B"/>
    <w:rsid w:val="00321047"/>
    <w:rsid w:val="00321068"/>
    <w:rsid w:val="0032128F"/>
    <w:rsid w:val="003212C9"/>
    <w:rsid w:val="003214B5"/>
    <w:rsid w:val="003214E1"/>
    <w:rsid w:val="0032164F"/>
    <w:rsid w:val="0032170D"/>
    <w:rsid w:val="00321BF0"/>
    <w:rsid w:val="00321C8D"/>
    <w:rsid w:val="00321E5A"/>
    <w:rsid w:val="00322127"/>
    <w:rsid w:val="003221D6"/>
    <w:rsid w:val="003221DA"/>
    <w:rsid w:val="00322248"/>
    <w:rsid w:val="00322428"/>
    <w:rsid w:val="0032267E"/>
    <w:rsid w:val="003229E5"/>
    <w:rsid w:val="00322C05"/>
    <w:rsid w:val="00322E8A"/>
    <w:rsid w:val="00322EB1"/>
    <w:rsid w:val="00323268"/>
    <w:rsid w:val="0032336D"/>
    <w:rsid w:val="00323379"/>
    <w:rsid w:val="003233FB"/>
    <w:rsid w:val="0032359F"/>
    <w:rsid w:val="00323706"/>
    <w:rsid w:val="003237B9"/>
    <w:rsid w:val="003239BA"/>
    <w:rsid w:val="00323A95"/>
    <w:rsid w:val="00323ABB"/>
    <w:rsid w:val="00323C0B"/>
    <w:rsid w:val="00323D60"/>
    <w:rsid w:val="00324139"/>
    <w:rsid w:val="00324192"/>
    <w:rsid w:val="00324208"/>
    <w:rsid w:val="0032424A"/>
    <w:rsid w:val="00324324"/>
    <w:rsid w:val="003244B9"/>
    <w:rsid w:val="00324890"/>
    <w:rsid w:val="0032492C"/>
    <w:rsid w:val="003249DE"/>
    <w:rsid w:val="00324C6E"/>
    <w:rsid w:val="00324F16"/>
    <w:rsid w:val="003250C3"/>
    <w:rsid w:val="003251D7"/>
    <w:rsid w:val="00325763"/>
    <w:rsid w:val="00325B8B"/>
    <w:rsid w:val="00325BF4"/>
    <w:rsid w:val="00325F41"/>
    <w:rsid w:val="00325F79"/>
    <w:rsid w:val="0032653C"/>
    <w:rsid w:val="0032656E"/>
    <w:rsid w:val="003265BF"/>
    <w:rsid w:val="003265F4"/>
    <w:rsid w:val="003268CA"/>
    <w:rsid w:val="003269BE"/>
    <w:rsid w:val="00326C2F"/>
    <w:rsid w:val="00326C32"/>
    <w:rsid w:val="00326EBF"/>
    <w:rsid w:val="00326F87"/>
    <w:rsid w:val="00327005"/>
    <w:rsid w:val="00327036"/>
    <w:rsid w:val="00327492"/>
    <w:rsid w:val="003277BB"/>
    <w:rsid w:val="00327922"/>
    <w:rsid w:val="003279B1"/>
    <w:rsid w:val="00327D64"/>
    <w:rsid w:val="00327F55"/>
    <w:rsid w:val="0033003C"/>
    <w:rsid w:val="0033015C"/>
    <w:rsid w:val="003305EA"/>
    <w:rsid w:val="00330783"/>
    <w:rsid w:val="003309FD"/>
    <w:rsid w:val="00330D14"/>
    <w:rsid w:val="00330D23"/>
    <w:rsid w:val="00330E2F"/>
    <w:rsid w:val="00330ECF"/>
    <w:rsid w:val="003311C6"/>
    <w:rsid w:val="003311E7"/>
    <w:rsid w:val="0033122C"/>
    <w:rsid w:val="003313B5"/>
    <w:rsid w:val="003314FF"/>
    <w:rsid w:val="0033151E"/>
    <w:rsid w:val="00331C3E"/>
    <w:rsid w:val="00331D7F"/>
    <w:rsid w:val="00331DEA"/>
    <w:rsid w:val="00331EAC"/>
    <w:rsid w:val="00332027"/>
    <w:rsid w:val="003322C3"/>
    <w:rsid w:val="003322E7"/>
    <w:rsid w:val="003323A1"/>
    <w:rsid w:val="00332693"/>
    <w:rsid w:val="00332867"/>
    <w:rsid w:val="00332BED"/>
    <w:rsid w:val="00332C03"/>
    <w:rsid w:val="00332DC2"/>
    <w:rsid w:val="00332DE7"/>
    <w:rsid w:val="00332E61"/>
    <w:rsid w:val="00332EA0"/>
    <w:rsid w:val="00332F4E"/>
    <w:rsid w:val="00333129"/>
    <w:rsid w:val="003332E0"/>
    <w:rsid w:val="0033340A"/>
    <w:rsid w:val="003335D2"/>
    <w:rsid w:val="0033399D"/>
    <w:rsid w:val="00333A6E"/>
    <w:rsid w:val="00333BE0"/>
    <w:rsid w:val="00333CB6"/>
    <w:rsid w:val="00333CFA"/>
    <w:rsid w:val="003340E8"/>
    <w:rsid w:val="003341B6"/>
    <w:rsid w:val="00334468"/>
    <w:rsid w:val="003348DF"/>
    <w:rsid w:val="0033498B"/>
    <w:rsid w:val="00334B10"/>
    <w:rsid w:val="00334D96"/>
    <w:rsid w:val="00334EEB"/>
    <w:rsid w:val="00334FA7"/>
    <w:rsid w:val="0033504D"/>
    <w:rsid w:val="00335171"/>
    <w:rsid w:val="0033520F"/>
    <w:rsid w:val="00335259"/>
    <w:rsid w:val="00335467"/>
    <w:rsid w:val="00335482"/>
    <w:rsid w:val="003354E0"/>
    <w:rsid w:val="0033552C"/>
    <w:rsid w:val="003355E9"/>
    <w:rsid w:val="003356BD"/>
    <w:rsid w:val="003357EA"/>
    <w:rsid w:val="00335D73"/>
    <w:rsid w:val="00335E30"/>
    <w:rsid w:val="003360C3"/>
    <w:rsid w:val="0033612C"/>
    <w:rsid w:val="00336376"/>
    <w:rsid w:val="003363F5"/>
    <w:rsid w:val="00336465"/>
    <w:rsid w:val="0033649F"/>
    <w:rsid w:val="003365C5"/>
    <w:rsid w:val="003365D0"/>
    <w:rsid w:val="00336613"/>
    <w:rsid w:val="00336681"/>
    <w:rsid w:val="00336A6A"/>
    <w:rsid w:val="00336D31"/>
    <w:rsid w:val="00337073"/>
    <w:rsid w:val="00337177"/>
    <w:rsid w:val="00337406"/>
    <w:rsid w:val="00337722"/>
    <w:rsid w:val="00337E46"/>
    <w:rsid w:val="003403CE"/>
    <w:rsid w:val="00340428"/>
    <w:rsid w:val="003404D8"/>
    <w:rsid w:val="00340718"/>
    <w:rsid w:val="00340721"/>
    <w:rsid w:val="003407C0"/>
    <w:rsid w:val="00340D1F"/>
    <w:rsid w:val="00340D3F"/>
    <w:rsid w:val="00341008"/>
    <w:rsid w:val="003410CB"/>
    <w:rsid w:val="0034114B"/>
    <w:rsid w:val="00341233"/>
    <w:rsid w:val="003415F5"/>
    <w:rsid w:val="003417E7"/>
    <w:rsid w:val="003419D5"/>
    <w:rsid w:val="00341AA1"/>
    <w:rsid w:val="00341AB2"/>
    <w:rsid w:val="00341B7C"/>
    <w:rsid w:val="00341CB9"/>
    <w:rsid w:val="00341FA8"/>
    <w:rsid w:val="00342090"/>
    <w:rsid w:val="00342180"/>
    <w:rsid w:val="003422D3"/>
    <w:rsid w:val="0034233B"/>
    <w:rsid w:val="003425E1"/>
    <w:rsid w:val="00342836"/>
    <w:rsid w:val="00342CE9"/>
    <w:rsid w:val="00342D43"/>
    <w:rsid w:val="00343145"/>
    <w:rsid w:val="0034316F"/>
    <w:rsid w:val="003431EE"/>
    <w:rsid w:val="0034324F"/>
    <w:rsid w:val="003433E7"/>
    <w:rsid w:val="00343ACB"/>
    <w:rsid w:val="00343C70"/>
    <w:rsid w:val="00343CDF"/>
    <w:rsid w:val="003440AC"/>
    <w:rsid w:val="0034424E"/>
    <w:rsid w:val="003442BF"/>
    <w:rsid w:val="00344437"/>
    <w:rsid w:val="003446D6"/>
    <w:rsid w:val="003447CD"/>
    <w:rsid w:val="00344943"/>
    <w:rsid w:val="00344A44"/>
    <w:rsid w:val="00344A4F"/>
    <w:rsid w:val="00344B06"/>
    <w:rsid w:val="00344DE9"/>
    <w:rsid w:val="00344E87"/>
    <w:rsid w:val="00345068"/>
    <w:rsid w:val="00345278"/>
    <w:rsid w:val="00345336"/>
    <w:rsid w:val="00345384"/>
    <w:rsid w:val="00345407"/>
    <w:rsid w:val="003454D1"/>
    <w:rsid w:val="003454FE"/>
    <w:rsid w:val="0034563A"/>
    <w:rsid w:val="00345E5A"/>
    <w:rsid w:val="00345F9C"/>
    <w:rsid w:val="0034620A"/>
    <w:rsid w:val="00346416"/>
    <w:rsid w:val="00346729"/>
    <w:rsid w:val="003467FA"/>
    <w:rsid w:val="003469AB"/>
    <w:rsid w:val="003469C5"/>
    <w:rsid w:val="003469D2"/>
    <w:rsid w:val="00346A71"/>
    <w:rsid w:val="00346ACD"/>
    <w:rsid w:val="00346AD3"/>
    <w:rsid w:val="00346CCE"/>
    <w:rsid w:val="00347022"/>
    <w:rsid w:val="00347058"/>
    <w:rsid w:val="00347841"/>
    <w:rsid w:val="00347912"/>
    <w:rsid w:val="0034798B"/>
    <w:rsid w:val="003479A9"/>
    <w:rsid w:val="00347A04"/>
    <w:rsid w:val="00347A19"/>
    <w:rsid w:val="00347A8A"/>
    <w:rsid w:val="00347DEB"/>
    <w:rsid w:val="00347E6C"/>
    <w:rsid w:val="00350020"/>
    <w:rsid w:val="00350150"/>
    <w:rsid w:val="00350739"/>
    <w:rsid w:val="003507E6"/>
    <w:rsid w:val="0035081E"/>
    <w:rsid w:val="00350B91"/>
    <w:rsid w:val="00350B9B"/>
    <w:rsid w:val="00350F2C"/>
    <w:rsid w:val="00350F4E"/>
    <w:rsid w:val="00350FFD"/>
    <w:rsid w:val="00351044"/>
    <w:rsid w:val="003512E0"/>
    <w:rsid w:val="00351381"/>
    <w:rsid w:val="00351804"/>
    <w:rsid w:val="00351964"/>
    <w:rsid w:val="003519CE"/>
    <w:rsid w:val="00351EA8"/>
    <w:rsid w:val="0035207A"/>
    <w:rsid w:val="003520EE"/>
    <w:rsid w:val="003520F7"/>
    <w:rsid w:val="0035228F"/>
    <w:rsid w:val="003522F1"/>
    <w:rsid w:val="00352336"/>
    <w:rsid w:val="00352700"/>
    <w:rsid w:val="00352826"/>
    <w:rsid w:val="00352869"/>
    <w:rsid w:val="00352A00"/>
    <w:rsid w:val="00352CD0"/>
    <w:rsid w:val="00352DF3"/>
    <w:rsid w:val="003533C7"/>
    <w:rsid w:val="0035393B"/>
    <w:rsid w:val="00353D31"/>
    <w:rsid w:val="00353DB1"/>
    <w:rsid w:val="00353E12"/>
    <w:rsid w:val="00353FF5"/>
    <w:rsid w:val="00354061"/>
    <w:rsid w:val="00354107"/>
    <w:rsid w:val="0035416B"/>
    <w:rsid w:val="00354405"/>
    <w:rsid w:val="00354491"/>
    <w:rsid w:val="0035456E"/>
    <w:rsid w:val="003545C8"/>
    <w:rsid w:val="003546F9"/>
    <w:rsid w:val="00354AB1"/>
    <w:rsid w:val="00354C34"/>
    <w:rsid w:val="00354C3A"/>
    <w:rsid w:val="00354E3E"/>
    <w:rsid w:val="00354F32"/>
    <w:rsid w:val="00354FCC"/>
    <w:rsid w:val="003553B6"/>
    <w:rsid w:val="0035556E"/>
    <w:rsid w:val="0035560A"/>
    <w:rsid w:val="003556F1"/>
    <w:rsid w:val="0035580D"/>
    <w:rsid w:val="0035585B"/>
    <w:rsid w:val="0035588D"/>
    <w:rsid w:val="00355897"/>
    <w:rsid w:val="00355AE7"/>
    <w:rsid w:val="00355BFB"/>
    <w:rsid w:val="00355E27"/>
    <w:rsid w:val="00355F36"/>
    <w:rsid w:val="003564BF"/>
    <w:rsid w:val="0035662D"/>
    <w:rsid w:val="0035665E"/>
    <w:rsid w:val="0035679D"/>
    <w:rsid w:val="00356810"/>
    <w:rsid w:val="003569FD"/>
    <w:rsid w:val="00356AB2"/>
    <w:rsid w:val="00356BFE"/>
    <w:rsid w:val="00356CC3"/>
    <w:rsid w:val="00356E9F"/>
    <w:rsid w:val="003571DA"/>
    <w:rsid w:val="00357278"/>
    <w:rsid w:val="0035734A"/>
    <w:rsid w:val="00357425"/>
    <w:rsid w:val="00357592"/>
    <w:rsid w:val="00357701"/>
    <w:rsid w:val="00357879"/>
    <w:rsid w:val="003578BF"/>
    <w:rsid w:val="0035796B"/>
    <w:rsid w:val="00357A20"/>
    <w:rsid w:val="00357AB2"/>
    <w:rsid w:val="00357B7A"/>
    <w:rsid w:val="00357F0E"/>
    <w:rsid w:val="00357F87"/>
    <w:rsid w:val="00357F9F"/>
    <w:rsid w:val="00357FC8"/>
    <w:rsid w:val="0036010B"/>
    <w:rsid w:val="0036014A"/>
    <w:rsid w:val="003602BF"/>
    <w:rsid w:val="003603EA"/>
    <w:rsid w:val="00360433"/>
    <w:rsid w:val="00360634"/>
    <w:rsid w:val="003606D8"/>
    <w:rsid w:val="0036087F"/>
    <w:rsid w:val="003609B9"/>
    <w:rsid w:val="00360A2E"/>
    <w:rsid w:val="00360A32"/>
    <w:rsid w:val="00360A47"/>
    <w:rsid w:val="00360A8C"/>
    <w:rsid w:val="00360BC6"/>
    <w:rsid w:val="0036108D"/>
    <w:rsid w:val="003610E3"/>
    <w:rsid w:val="00361128"/>
    <w:rsid w:val="003612F1"/>
    <w:rsid w:val="003612FA"/>
    <w:rsid w:val="00361591"/>
    <w:rsid w:val="0036176A"/>
    <w:rsid w:val="00361773"/>
    <w:rsid w:val="003618C8"/>
    <w:rsid w:val="00361F7D"/>
    <w:rsid w:val="0036209D"/>
    <w:rsid w:val="00362124"/>
    <w:rsid w:val="00362349"/>
    <w:rsid w:val="003626C4"/>
    <w:rsid w:val="0036274D"/>
    <w:rsid w:val="003628CA"/>
    <w:rsid w:val="00362C17"/>
    <w:rsid w:val="00362DB1"/>
    <w:rsid w:val="00362DCC"/>
    <w:rsid w:val="003631C6"/>
    <w:rsid w:val="0036331C"/>
    <w:rsid w:val="00363463"/>
    <w:rsid w:val="00363633"/>
    <w:rsid w:val="0036386D"/>
    <w:rsid w:val="003638CB"/>
    <w:rsid w:val="00363975"/>
    <w:rsid w:val="00363A66"/>
    <w:rsid w:val="00363AE7"/>
    <w:rsid w:val="00363DDD"/>
    <w:rsid w:val="00363F45"/>
    <w:rsid w:val="00364050"/>
    <w:rsid w:val="00364299"/>
    <w:rsid w:val="003642EE"/>
    <w:rsid w:val="00364301"/>
    <w:rsid w:val="0036441F"/>
    <w:rsid w:val="00364447"/>
    <w:rsid w:val="00364539"/>
    <w:rsid w:val="003646EA"/>
    <w:rsid w:val="00364844"/>
    <w:rsid w:val="00364992"/>
    <w:rsid w:val="003649F0"/>
    <w:rsid w:val="00364ABA"/>
    <w:rsid w:val="00364AFC"/>
    <w:rsid w:val="00364B56"/>
    <w:rsid w:val="00364BF6"/>
    <w:rsid w:val="00364CDB"/>
    <w:rsid w:val="00364D7B"/>
    <w:rsid w:val="00364E18"/>
    <w:rsid w:val="00364F52"/>
    <w:rsid w:val="003650EA"/>
    <w:rsid w:val="003653DB"/>
    <w:rsid w:val="003654DC"/>
    <w:rsid w:val="00365515"/>
    <w:rsid w:val="00365645"/>
    <w:rsid w:val="003659F4"/>
    <w:rsid w:val="00365A02"/>
    <w:rsid w:val="00365D2B"/>
    <w:rsid w:val="00365E50"/>
    <w:rsid w:val="003661BB"/>
    <w:rsid w:val="003662C9"/>
    <w:rsid w:val="003663FA"/>
    <w:rsid w:val="00366406"/>
    <w:rsid w:val="00366433"/>
    <w:rsid w:val="00366568"/>
    <w:rsid w:val="0036658F"/>
    <w:rsid w:val="00366696"/>
    <w:rsid w:val="00366C77"/>
    <w:rsid w:val="00366C79"/>
    <w:rsid w:val="0036700E"/>
    <w:rsid w:val="0036724C"/>
    <w:rsid w:val="003672FD"/>
    <w:rsid w:val="003673BB"/>
    <w:rsid w:val="00367487"/>
    <w:rsid w:val="00367534"/>
    <w:rsid w:val="0036757D"/>
    <w:rsid w:val="0036774A"/>
    <w:rsid w:val="00367D0B"/>
    <w:rsid w:val="00367DCC"/>
    <w:rsid w:val="003701A9"/>
    <w:rsid w:val="003701FD"/>
    <w:rsid w:val="0037035D"/>
    <w:rsid w:val="00370514"/>
    <w:rsid w:val="0037091D"/>
    <w:rsid w:val="003709B6"/>
    <w:rsid w:val="00370A13"/>
    <w:rsid w:val="00370D48"/>
    <w:rsid w:val="00370E2D"/>
    <w:rsid w:val="00371015"/>
    <w:rsid w:val="0037113B"/>
    <w:rsid w:val="003712D8"/>
    <w:rsid w:val="003714EA"/>
    <w:rsid w:val="003715E9"/>
    <w:rsid w:val="00371759"/>
    <w:rsid w:val="0037177F"/>
    <w:rsid w:val="003718D2"/>
    <w:rsid w:val="003719B5"/>
    <w:rsid w:val="00371A9F"/>
    <w:rsid w:val="00371B8D"/>
    <w:rsid w:val="00371C62"/>
    <w:rsid w:val="00371D6B"/>
    <w:rsid w:val="00371D86"/>
    <w:rsid w:val="00371ED0"/>
    <w:rsid w:val="00371ED6"/>
    <w:rsid w:val="00371FB8"/>
    <w:rsid w:val="00372221"/>
    <w:rsid w:val="00372589"/>
    <w:rsid w:val="00372951"/>
    <w:rsid w:val="003729B4"/>
    <w:rsid w:val="00372A0C"/>
    <w:rsid w:val="00372BCB"/>
    <w:rsid w:val="00372DA0"/>
    <w:rsid w:val="00372E6B"/>
    <w:rsid w:val="00372FA2"/>
    <w:rsid w:val="0037302C"/>
    <w:rsid w:val="003731A2"/>
    <w:rsid w:val="00373390"/>
    <w:rsid w:val="00373426"/>
    <w:rsid w:val="003734D8"/>
    <w:rsid w:val="003734E2"/>
    <w:rsid w:val="00373561"/>
    <w:rsid w:val="0037356B"/>
    <w:rsid w:val="003738A0"/>
    <w:rsid w:val="003739C0"/>
    <w:rsid w:val="00373A4B"/>
    <w:rsid w:val="00373B1F"/>
    <w:rsid w:val="00373B37"/>
    <w:rsid w:val="00373C89"/>
    <w:rsid w:val="00373DD1"/>
    <w:rsid w:val="00373E84"/>
    <w:rsid w:val="00373E98"/>
    <w:rsid w:val="00373FCF"/>
    <w:rsid w:val="0037409E"/>
    <w:rsid w:val="00374156"/>
    <w:rsid w:val="003742B8"/>
    <w:rsid w:val="003742D6"/>
    <w:rsid w:val="00374409"/>
    <w:rsid w:val="003744C1"/>
    <w:rsid w:val="003745B4"/>
    <w:rsid w:val="003748DC"/>
    <w:rsid w:val="00374938"/>
    <w:rsid w:val="00374A21"/>
    <w:rsid w:val="00374A5D"/>
    <w:rsid w:val="00374B62"/>
    <w:rsid w:val="00374D07"/>
    <w:rsid w:val="00374DF0"/>
    <w:rsid w:val="00374E61"/>
    <w:rsid w:val="0037521A"/>
    <w:rsid w:val="00375563"/>
    <w:rsid w:val="0037575D"/>
    <w:rsid w:val="0037588A"/>
    <w:rsid w:val="0037597F"/>
    <w:rsid w:val="003759D0"/>
    <w:rsid w:val="00375BAA"/>
    <w:rsid w:val="00375BEF"/>
    <w:rsid w:val="00375C51"/>
    <w:rsid w:val="00375C71"/>
    <w:rsid w:val="00376178"/>
    <w:rsid w:val="00376222"/>
    <w:rsid w:val="0037659E"/>
    <w:rsid w:val="003765B1"/>
    <w:rsid w:val="003767BA"/>
    <w:rsid w:val="00376851"/>
    <w:rsid w:val="00376B4D"/>
    <w:rsid w:val="0037706A"/>
    <w:rsid w:val="00377220"/>
    <w:rsid w:val="003772B8"/>
    <w:rsid w:val="003773DA"/>
    <w:rsid w:val="00377489"/>
    <w:rsid w:val="003777FB"/>
    <w:rsid w:val="00377A81"/>
    <w:rsid w:val="00377B44"/>
    <w:rsid w:val="00377F97"/>
    <w:rsid w:val="00380112"/>
    <w:rsid w:val="00380185"/>
    <w:rsid w:val="003802D4"/>
    <w:rsid w:val="00380414"/>
    <w:rsid w:val="003804DC"/>
    <w:rsid w:val="003804E9"/>
    <w:rsid w:val="0038056B"/>
    <w:rsid w:val="00380B1C"/>
    <w:rsid w:val="00380CA0"/>
    <w:rsid w:val="00380CD6"/>
    <w:rsid w:val="00380D83"/>
    <w:rsid w:val="00381141"/>
    <w:rsid w:val="0038115E"/>
    <w:rsid w:val="00381186"/>
    <w:rsid w:val="0038131C"/>
    <w:rsid w:val="0038144B"/>
    <w:rsid w:val="003814BB"/>
    <w:rsid w:val="003822DE"/>
    <w:rsid w:val="003823C8"/>
    <w:rsid w:val="0038244F"/>
    <w:rsid w:val="0038247B"/>
    <w:rsid w:val="003825FA"/>
    <w:rsid w:val="003827C2"/>
    <w:rsid w:val="00382824"/>
    <w:rsid w:val="003829B0"/>
    <w:rsid w:val="00382A8B"/>
    <w:rsid w:val="00382C26"/>
    <w:rsid w:val="00382CA9"/>
    <w:rsid w:val="00382D17"/>
    <w:rsid w:val="00382DFA"/>
    <w:rsid w:val="003832D4"/>
    <w:rsid w:val="0038339C"/>
    <w:rsid w:val="0038387F"/>
    <w:rsid w:val="00383F13"/>
    <w:rsid w:val="003844E8"/>
    <w:rsid w:val="00384546"/>
    <w:rsid w:val="0038465F"/>
    <w:rsid w:val="003849BE"/>
    <w:rsid w:val="00384AEA"/>
    <w:rsid w:val="00384B68"/>
    <w:rsid w:val="00384D6A"/>
    <w:rsid w:val="00385022"/>
    <w:rsid w:val="0038506D"/>
    <w:rsid w:val="003851C4"/>
    <w:rsid w:val="00385264"/>
    <w:rsid w:val="003853C5"/>
    <w:rsid w:val="00385516"/>
    <w:rsid w:val="00385578"/>
    <w:rsid w:val="003856ED"/>
    <w:rsid w:val="003857B9"/>
    <w:rsid w:val="003858C8"/>
    <w:rsid w:val="00385B98"/>
    <w:rsid w:val="00385E73"/>
    <w:rsid w:val="00386016"/>
    <w:rsid w:val="00386024"/>
    <w:rsid w:val="00386077"/>
    <w:rsid w:val="0038624C"/>
    <w:rsid w:val="003863BD"/>
    <w:rsid w:val="003864D9"/>
    <w:rsid w:val="0038685B"/>
    <w:rsid w:val="003868ED"/>
    <w:rsid w:val="00386BB9"/>
    <w:rsid w:val="00386C0C"/>
    <w:rsid w:val="00386C66"/>
    <w:rsid w:val="00386EDA"/>
    <w:rsid w:val="00386EEC"/>
    <w:rsid w:val="003871A5"/>
    <w:rsid w:val="003873B9"/>
    <w:rsid w:val="003874F9"/>
    <w:rsid w:val="00387677"/>
    <w:rsid w:val="003876EB"/>
    <w:rsid w:val="0038777E"/>
    <w:rsid w:val="00387783"/>
    <w:rsid w:val="00387C3F"/>
    <w:rsid w:val="00387C60"/>
    <w:rsid w:val="00387C68"/>
    <w:rsid w:val="00387FB2"/>
    <w:rsid w:val="00390033"/>
    <w:rsid w:val="0039012B"/>
    <w:rsid w:val="00390174"/>
    <w:rsid w:val="0039050B"/>
    <w:rsid w:val="00390528"/>
    <w:rsid w:val="0039057A"/>
    <w:rsid w:val="0039062B"/>
    <w:rsid w:val="00390758"/>
    <w:rsid w:val="00390B49"/>
    <w:rsid w:val="00390CE6"/>
    <w:rsid w:val="00390EF1"/>
    <w:rsid w:val="00390F96"/>
    <w:rsid w:val="003910E8"/>
    <w:rsid w:val="00391197"/>
    <w:rsid w:val="00391465"/>
    <w:rsid w:val="003915BC"/>
    <w:rsid w:val="00391782"/>
    <w:rsid w:val="00391A70"/>
    <w:rsid w:val="00391CB4"/>
    <w:rsid w:val="00391FA8"/>
    <w:rsid w:val="00392339"/>
    <w:rsid w:val="00392395"/>
    <w:rsid w:val="003925B6"/>
    <w:rsid w:val="0039295E"/>
    <w:rsid w:val="003929C9"/>
    <w:rsid w:val="00392B0E"/>
    <w:rsid w:val="00392EDD"/>
    <w:rsid w:val="00393047"/>
    <w:rsid w:val="003931BA"/>
    <w:rsid w:val="00393200"/>
    <w:rsid w:val="00393223"/>
    <w:rsid w:val="003932C7"/>
    <w:rsid w:val="003935ED"/>
    <w:rsid w:val="0039376E"/>
    <w:rsid w:val="0039381B"/>
    <w:rsid w:val="00393B18"/>
    <w:rsid w:val="00393D17"/>
    <w:rsid w:val="00393D59"/>
    <w:rsid w:val="00393DC0"/>
    <w:rsid w:val="00393EF7"/>
    <w:rsid w:val="00394163"/>
    <w:rsid w:val="00394382"/>
    <w:rsid w:val="0039476A"/>
    <w:rsid w:val="00394A6A"/>
    <w:rsid w:val="00394AEB"/>
    <w:rsid w:val="00394CBD"/>
    <w:rsid w:val="00395056"/>
    <w:rsid w:val="003950CD"/>
    <w:rsid w:val="00395138"/>
    <w:rsid w:val="003953FB"/>
    <w:rsid w:val="003954F7"/>
    <w:rsid w:val="003957BE"/>
    <w:rsid w:val="00395823"/>
    <w:rsid w:val="00395837"/>
    <w:rsid w:val="003958CC"/>
    <w:rsid w:val="00395914"/>
    <w:rsid w:val="003959F2"/>
    <w:rsid w:val="00395A04"/>
    <w:rsid w:val="00395DA6"/>
    <w:rsid w:val="0039614D"/>
    <w:rsid w:val="003961F1"/>
    <w:rsid w:val="003963EE"/>
    <w:rsid w:val="00396B38"/>
    <w:rsid w:val="00396C53"/>
    <w:rsid w:val="00396D42"/>
    <w:rsid w:val="00396D59"/>
    <w:rsid w:val="00396D61"/>
    <w:rsid w:val="00396F60"/>
    <w:rsid w:val="003972D0"/>
    <w:rsid w:val="00397462"/>
    <w:rsid w:val="0039793B"/>
    <w:rsid w:val="00397A21"/>
    <w:rsid w:val="00397B7A"/>
    <w:rsid w:val="00397C8D"/>
    <w:rsid w:val="003A025F"/>
    <w:rsid w:val="003A06B9"/>
    <w:rsid w:val="003A080B"/>
    <w:rsid w:val="003A0A8D"/>
    <w:rsid w:val="003A0B40"/>
    <w:rsid w:val="003A0BA1"/>
    <w:rsid w:val="003A0DAC"/>
    <w:rsid w:val="003A0DFC"/>
    <w:rsid w:val="003A100E"/>
    <w:rsid w:val="003A1066"/>
    <w:rsid w:val="003A14FE"/>
    <w:rsid w:val="003A163B"/>
    <w:rsid w:val="003A16F5"/>
    <w:rsid w:val="003A1BF3"/>
    <w:rsid w:val="003A21A0"/>
    <w:rsid w:val="003A22DC"/>
    <w:rsid w:val="003A2472"/>
    <w:rsid w:val="003A256E"/>
    <w:rsid w:val="003A2718"/>
    <w:rsid w:val="003A282C"/>
    <w:rsid w:val="003A2C73"/>
    <w:rsid w:val="003A2D8C"/>
    <w:rsid w:val="003A323F"/>
    <w:rsid w:val="003A3245"/>
    <w:rsid w:val="003A3568"/>
    <w:rsid w:val="003A3577"/>
    <w:rsid w:val="003A37D3"/>
    <w:rsid w:val="003A37F8"/>
    <w:rsid w:val="003A3967"/>
    <w:rsid w:val="003A3A41"/>
    <w:rsid w:val="003A3C4E"/>
    <w:rsid w:val="003A3CFD"/>
    <w:rsid w:val="003A3DD1"/>
    <w:rsid w:val="003A3F91"/>
    <w:rsid w:val="003A406D"/>
    <w:rsid w:val="003A42D7"/>
    <w:rsid w:val="003A4316"/>
    <w:rsid w:val="003A4644"/>
    <w:rsid w:val="003A4C68"/>
    <w:rsid w:val="003A4CF2"/>
    <w:rsid w:val="003A5005"/>
    <w:rsid w:val="003A51B5"/>
    <w:rsid w:val="003A5269"/>
    <w:rsid w:val="003A5305"/>
    <w:rsid w:val="003A53DE"/>
    <w:rsid w:val="003A5B49"/>
    <w:rsid w:val="003A5C85"/>
    <w:rsid w:val="003A5C98"/>
    <w:rsid w:val="003A5E60"/>
    <w:rsid w:val="003A5ECC"/>
    <w:rsid w:val="003A609B"/>
    <w:rsid w:val="003A61E6"/>
    <w:rsid w:val="003A6480"/>
    <w:rsid w:val="003A6525"/>
    <w:rsid w:val="003A655B"/>
    <w:rsid w:val="003A6856"/>
    <w:rsid w:val="003A6A53"/>
    <w:rsid w:val="003A6C8D"/>
    <w:rsid w:val="003A6DFF"/>
    <w:rsid w:val="003A6E36"/>
    <w:rsid w:val="003A7215"/>
    <w:rsid w:val="003A7379"/>
    <w:rsid w:val="003A748C"/>
    <w:rsid w:val="003A7499"/>
    <w:rsid w:val="003A752C"/>
    <w:rsid w:val="003A7737"/>
    <w:rsid w:val="003A7739"/>
    <w:rsid w:val="003A774D"/>
    <w:rsid w:val="003A7AB5"/>
    <w:rsid w:val="003A7C29"/>
    <w:rsid w:val="003A7E87"/>
    <w:rsid w:val="003A7EA7"/>
    <w:rsid w:val="003B0264"/>
    <w:rsid w:val="003B02ED"/>
    <w:rsid w:val="003B0374"/>
    <w:rsid w:val="003B0790"/>
    <w:rsid w:val="003B0943"/>
    <w:rsid w:val="003B0A27"/>
    <w:rsid w:val="003B10C6"/>
    <w:rsid w:val="003B11F1"/>
    <w:rsid w:val="003B127C"/>
    <w:rsid w:val="003B12A1"/>
    <w:rsid w:val="003B1460"/>
    <w:rsid w:val="003B1526"/>
    <w:rsid w:val="003B15E9"/>
    <w:rsid w:val="003B174A"/>
    <w:rsid w:val="003B1925"/>
    <w:rsid w:val="003B19C9"/>
    <w:rsid w:val="003B1A9B"/>
    <w:rsid w:val="003B1AB3"/>
    <w:rsid w:val="003B1C4E"/>
    <w:rsid w:val="003B1E33"/>
    <w:rsid w:val="003B2059"/>
    <w:rsid w:val="003B223D"/>
    <w:rsid w:val="003B2323"/>
    <w:rsid w:val="003B24F0"/>
    <w:rsid w:val="003B25FA"/>
    <w:rsid w:val="003B268A"/>
    <w:rsid w:val="003B275B"/>
    <w:rsid w:val="003B2B6C"/>
    <w:rsid w:val="003B2FB9"/>
    <w:rsid w:val="003B308F"/>
    <w:rsid w:val="003B3137"/>
    <w:rsid w:val="003B313E"/>
    <w:rsid w:val="003B3903"/>
    <w:rsid w:val="003B3AE6"/>
    <w:rsid w:val="003B3B79"/>
    <w:rsid w:val="003B3CD2"/>
    <w:rsid w:val="003B3DA9"/>
    <w:rsid w:val="003B3DC4"/>
    <w:rsid w:val="003B3E1E"/>
    <w:rsid w:val="003B3E9D"/>
    <w:rsid w:val="003B4033"/>
    <w:rsid w:val="003B44B9"/>
    <w:rsid w:val="003B44F9"/>
    <w:rsid w:val="003B4566"/>
    <w:rsid w:val="003B459A"/>
    <w:rsid w:val="003B4762"/>
    <w:rsid w:val="003B497B"/>
    <w:rsid w:val="003B49BF"/>
    <w:rsid w:val="003B4CD2"/>
    <w:rsid w:val="003B4F3D"/>
    <w:rsid w:val="003B50D6"/>
    <w:rsid w:val="003B5179"/>
    <w:rsid w:val="003B518B"/>
    <w:rsid w:val="003B52FC"/>
    <w:rsid w:val="003B5AA1"/>
    <w:rsid w:val="003B5F0B"/>
    <w:rsid w:val="003B6137"/>
    <w:rsid w:val="003B616E"/>
    <w:rsid w:val="003B623E"/>
    <w:rsid w:val="003B636E"/>
    <w:rsid w:val="003B665A"/>
    <w:rsid w:val="003B67C8"/>
    <w:rsid w:val="003B6885"/>
    <w:rsid w:val="003B68BC"/>
    <w:rsid w:val="003B691B"/>
    <w:rsid w:val="003B6D11"/>
    <w:rsid w:val="003B6F99"/>
    <w:rsid w:val="003B70A3"/>
    <w:rsid w:val="003B772A"/>
    <w:rsid w:val="003B7731"/>
    <w:rsid w:val="003B77DB"/>
    <w:rsid w:val="003B78D5"/>
    <w:rsid w:val="003B7BC7"/>
    <w:rsid w:val="003C0040"/>
    <w:rsid w:val="003C01BE"/>
    <w:rsid w:val="003C029F"/>
    <w:rsid w:val="003C02E6"/>
    <w:rsid w:val="003C03ED"/>
    <w:rsid w:val="003C06C7"/>
    <w:rsid w:val="003C092A"/>
    <w:rsid w:val="003C0DE1"/>
    <w:rsid w:val="003C0FF4"/>
    <w:rsid w:val="003C1260"/>
    <w:rsid w:val="003C13A1"/>
    <w:rsid w:val="003C13DA"/>
    <w:rsid w:val="003C149D"/>
    <w:rsid w:val="003C158D"/>
    <w:rsid w:val="003C1604"/>
    <w:rsid w:val="003C18C1"/>
    <w:rsid w:val="003C19F3"/>
    <w:rsid w:val="003C1E12"/>
    <w:rsid w:val="003C1E20"/>
    <w:rsid w:val="003C209A"/>
    <w:rsid w:val="003C249A"/>
    <w:rsid w:val="003C2668"/>
    <w:rsid w:val="003C27F7"/>
    <w:rsid w:val="003C28D8"/>
    <w:rsid w:val="003C2C99"/>
    <w:rsid w:val="003C2FA2"/>
    <w:rsid w:val="003C2FF2"/>
    <w:rsid w:val="003C3060"/>
    <w:rsid w:val="003C3088"/>
    <w:rsid w:val="003C3217"/>
    <w:rsid w:val="003C32FC"/>
    <w:rsid w:val="003C3383"/>
    <w:rsid w:val="003C3440"/>
    <w:rsid w:val="003C3718"/>
    <w:rsid w:val="003C3B5A"/>
    <w:rsid w:val="003C3F17"/>
    <w:rsid w:val="003C40E6"/>
    <w:rsid w:val="003C41B2"/>
    <w:rsid w:val="003C4292"/>
    <w:rsid w:val="003C42F1"/>
    <w:rsid w:val="003C44E8"/>
    <w:rsid w:val="003C46F9"/>
    <w:rsid w:val="003C4B73"/>
    <w:rsid w:val="003C550F"/>
    <w:rsid w:val="003C56FA"/>
    <w:rsid w:val="003C5723"/>
    <w:rsid w:val="003C579F"/>
    <w:rsid w:val="003C5918"/>
    <w:rsid w:val="003C5951"/>
    <w:rsid w:val="003C5A0B"/>
    <w:rsid w:val="003C5CAE"/>
    <w:rsid w:val="003C5EAF"/>
    <w:rsid w:val="003C5FEE"/>
    <w:rsid w:val="003C6190"/>
    <w:rsid w:val="003C62D7"/>
    <w:rsid w:val="003C64A2"/>
    <w:rsid w:val="003C6542"/>
    <w:rsid w:val="003C6E41"/>
    <w:rsid w:val="003C71A2"/>
    <w:rsid w:val="003C73C8"/>
    <w:rsid w:val="003C742B"/>
    <w:rsid w:val="003C75FE"/>
    <w:rsid w:val="003C7689"/>
    <w:rsid w:val="003C7881"/>
    <w:rsid w:val="003C7886"/>
    <w:rsid w:val="003C7969"/>
    <w:rsid w:val="003C7B48"/>
    <w:rsid w:val="003C7C3A"/>
    <w:rsid w:val="003C7FBD"/>
    <w:rsid w:val="003D0025"/>
    <w:rsid w:val="003D0055"/>
    <w:rsid w:val="003D0079"/>
    <w:rsid w:val="003D0095"/>
    <w:rsid w:val="003D0097"/>
    <w:rsid w:val="003D0315"/>
    <w:rsid w:val="003D040B"/>
    <w:rsid w:val="003D0664"/>
    <w:rsid w:val="003D0942"/>
    <w:rsid w:val="003D09CE"/>
    <w:rsid w:val="003D0A36"/>
    <w:rsid w:val="003D0E21"/>
    <w:rsid w:val="003D1071"/>
    <w:rsid w:val="003D10B5"/>
    <w:rsid w:val="003D14C4"/>
    <w:rsid w:val="003D1811"/>
    <w:rsid w:val="003D1A03"/>
    <w:rsid w:val="003D1C5D"/>
    <w:rsid w:val="003D1DC9"/>
    <w:rsid w:val="003D2188"/>
    <w:rsid w:val="003D23D1"/>
    <w:rsid w:val="003D2493"/>
    <w:rsid w:val="003D24CE"/>
    <w:rsid w:val="003D24F3"/>
    <w:rsid w:val="003D2664"/>
    <w:rsid w:val="003D2998"/>
    <w:rsid w:val="003D3305"/>
    <w:rsid w:val="003D33CB"/>
    <w:rsid w:val="003D36EE"/>
    <w:rsid w:val="003D36FE"/>
    <w:rsid w:val="003D39FB"/>
    <w:rsid w:val="003D3ADB"/>
    <w:rsid w:val="003D3B3F"/>
    <w:rsid w:val="003D3B44"/>
    <w:rsid w:val="003D3CC0"/>
    <w:rsid w:val="003D3D08"/>
    <w:rsid w:val="003D3F05"/>
    <w:rsid w:val="003D3FB1"/>
    <w:rsid w:val="003D42E9"/>
    <w:rsid w:val="003D4757"/>
    <w:rsid w:val="003D4C4D"/>
    <w:rsid w:val="003D4D7A"/>
    <w:rsid w:val="003D5002"/>
    <w:rsid w:val="003D5075"/>
    <w:rsid w:val="003D51DD"/>
    <w:rsid w:val="003D5372"/>
    <w:rsid w:val="003D543B"/>
    <w:rsid w:val="003D576E"/>
    <w:rsid w:val="003D5890"/>
    <w:rsid w:val="003D5AF8"/>
    <w:rsid w:val="003D5C1C"/>
    <w:rsid w:val="003D5D07"/>
    <w:rsid w:val="003D5D3D"/>
    <w:rsid w:val="003D5F41"/>
    <w:rsid w:val="003D5FA7"/>
    <w:rsid w:val="003D6003"/>
    <w:rsid w:val="003D6149"/>
    <w:rsid w:val="003D62AD"/>
    <w:rsid w:val="003D632B"/>
    <w:rsid w:val="003D68FF"/>
    <w:rsid w:val="003D6919"/>
    <w:rsid w:val="003D6C06"/>
    <w:rsid w:val="003D6F4A"/>
    <w:rsid w:val="003D7315"/>
    <w:rsid w:val="003D737B"/>
    <w:rsid w:val="003D73BA"/>
    <w:rsid w:val="003D73DF"/>
    <w:rsid w:val="003D7604"/>
    <w:rsid w:val="003D76AC"/>
    <w:rsid w:val="003D772C"/>
    <w:rsid w:val="003D7937"/>
    <w:rsid w:val="003D79D9"/>
    <w:rsid w:val="003D7B03"/>
    <w:rsid w:val="003D7B05"/>
    <w:rsid w:val="003D7B86"/>
    <w:rsid w:val="003D7BB8"/>
    <w:rsid w:val="003D7EE1"/>
    <w:rsid w:val="003E0163"/>
    <w:rsid w:val="003E0242"/>
    <w:rsid w:val="003E025C"/>
    <w:rsid w:val="003E0326"/>
    <w:rsid w:val="003E0471"/>
    <w:rsid w:val="003E06BE"/>
    <w:rsid w:val="003E08B7"/>
    <w:rsid w:val="003E0B1E"/>
    <w:rsid w:val="003E0BA9"/>
    <w:rsid w:val="003E0DB4"/>
    <w:rsid w:val="003E0DB8"/>
    <w:rsid w:val="003E1023"/>
    <w:rsid w:val="003E12D9"/>
    <w:rsid w:val="003E1301"/>
    <w:rsid w:val="003E13EE"/>
    <w:rsid w:val="003E16DA"/>
    <w:rsid w:val="003E17B3"/>
    <w:rsid w:val="003E1BE3"/>
    <w:rsid w:val="003E1F21"/>
    <w:rsid w:val="003E2089"/>
    <w:rsid w:val="003E20D8"/>
    <w:rsid w:val="003E2120"/>
    <w:rsid w:val="003E21A7"/>
    <w:rsid w:val="003E24D9"/>
    <w:rsid w:val="003E26B3"/>
    <w:rsid w:val="003E27BC"/>
    <w:rsid w:val="003E2CF4"/>
    <w:rsid w:val="003E3715"/>
    <w:rsid w:val="003E3872"/>
    <w:rsid w:val="003E3994"/>
    <w:rsid w:val="003E3B79"/>
    <w:rsid w:val="003E3BEC"/>
    <w:rsid w:val="003E3D0E"/>
    <w:rsid w:val="003E3D25"/>
    <w:rsid w:val="003E3E20"/>
    <w:rsid w:val="003E4078"/>
    <w:rsid w:val="003E497C"/>
    <w:rsid w:val="003E4AF9"/>
    <w:rsid w:val="003E4B8E"/>
    <w:rsid w:val="003E4BA0"/>
    <w:rsid w:val="003E4CDA"/>
    <w:rsid w:val="003E4D8B"/>
    <w:rsid w:val="003E4E60"/>
    <w:rsid w:val="003E4EC2"/>
    <w:rsid w:val="003E55B4"/>
    <w:rsid w:val="003E571A"/>
    <w:rsid w:val="003E575A"/>
    <w:rsid w:val="003E57E4"/>
    <w:rsid w:val="003E58E7"/>
    <w:rsid w:val="003E5943"/>
    <w:rsid w:val="003E5AE8"/>
    <w:rsid w:val="003E5C67"/>
    <w:rsid w:val="003E5C82"/>
    <w:rsid w:val="003E5F63"/>
    <w:rsid w:val="003E5FBC"/>
    <w:rsid w:val="003E6091"/>
    <w:rsid w:val="003E60F1"/>
    <w:rsid w:val="003E61AF"/>
    <w:rsid w:val="003E6212"/>
    <w:rsid w:val="003E631B"/>
    <w:rsid w:val="003E6804"/>
    <w:rsid w:val="003E68D6"/>
    <w:rsid w:val="003E6969"/>
    <w:rsid w:val="003E6DAB"/>
    <w:rsid w:val="003E6F8E"/>
    <w:rsid w:val="003E7110"/>
    <w:rsid w:val="003E725B"/>
    <w:rsid w:val="003E72D7"/>
    <w:rsid w:val="003E72DE"/>
    <w:rsid w:val="003E75D1"/>
    <w:rsid w:val="003E787B"/>
    <w:rsid w:val="003E78DD"/>
    <w:rsid w:val="003E7A2A"/>
    <w:rsid w:val="003E7A31"/>
    <w:rsid w:val="003E7B82"/>
    <w:rsid w:val="003E7BD6"/>
    <w:rsid w:val="003E7D21"/>
    <w:rsid w:val="003E7D3C"/>
    <w:rsid w:val="003E7D90"/>
    <w:rsid w:val="003E7DA1"/>
    <w:rsid w:val="003F02FF"/>
    <w:rsid w:val="003F0352"/>
    <w:rsid w:val="003F03A7"/>
    <w:rsid w:val="003F0447"/>
    <w:rsid w:val="003F055B"/>
    <w:rsid w:val="003F0587"/>
    <w:rsid w:val="003F08B0"/>
    <w:rsid w:val="003F08CB"/>
    <w:rsid w:val="003F0D13"/>
    <w:rsid w:val="003F0D4A"/>
    <w:rsid w:val="003F0F10"/>
    <w:rsid w:val="003F0F15"/>
    <w:rsid w:val="003F1004"/>
    <w:rsid w:val="003F1076"/>
    <w:rsid w:val="003F11E4"/>
    <w:rsid w:val="003F1232"/>
    <w:rsid w:val="003F12BC"/>
    <w:rsid w:val="003F1D0A"/>
    <w:rsid w:val="003F222F"/>
    <w:rsid w:val="003F2326"/>
    <w:rsid w:val="003F2389"/>
    <w:rsid w:val="003F2462"/>
    <w:rsid w:val="003F2651"/>
    <w:rsid w:val="003F26C6"/>
    <w:rsid w:val="003F2873"/>
    <w:rsid w:val="003F2913"/>
    <w:rsid w:val="003F2A4C"/>
    <w:rsid w:val="003F2C25"/>
    <w:rsid w:val="003F2D10"/>
    <w:rsid w:val="003F2D18"/>
    <w:rsid w:val="003F2D3C"/>
    <w:rsid w:val="003F2D7E"/>
    <w:rsid w:val="003F2EF4"/>
    <w:rsid w:val="003F3013"/>
    <w:rsid w:val="003F3081"/>
    <w:rsid w:val="003F3241"/>
    <w:rsid w:val="003F329C"/>
    <w:rsid w:val="003F32EA"/>
    <w:rsid w:val="003F3389"/>
    <w:rsid w:val="003F3653"/>
    <w:rsid w:val="003F3678"/>
    <w:rsid w:val="003F3748"/>
    <w:rsid w:val="003F3954"/>
    <w:rsid w:val="003F3A5E"/>
    <w:rsid w:val="003F3B6B"/>
    <w:rsid w:val="003F3D2B"/>
    <w:rsid w:val="003F3E6E"/>
    <w:rsid w:val="003F3FE1"/>
    <w:rsid w:val="003F428F"/>
    <w:rsid w:val="003F44AA"/>
    <w:rsid w:val="003F44FC"/>
    <w:rsid w:val="003F49EE"/>
    <w:rsid w:val="003F4A79"/>
    <w:rsid w:val="003F4BAC"/>
    <w:rsid w:val="003F4BCF"/>
    <w:rsid w:val="003F4CD4"/>
    <w:rsid w:val="003F4FC4"/>
    <w:rsid w:val="003F528D"/>
    <w:rsid w:val="003F5339"/>
    <w:rsid w:val="003F5446"/>
    <w:rsid w:val="003F544C"/>
    <w:rsid w:val="003F54C7"/>
    <w:rsid w:val="003F5507"/>
    <w:rsid w:val="003F553E"/>
    <w:rsid w:val="003F559B"/>
    <w:rsid w:val="003F55B3"/>
    <w:rsid w:val="003F55BC"/>
    <w:rsid w:val="003F5679"/>
    <w:rsid w:val="003F567F"/>
    <w:rsid w:val="003F5680"/>
    <w:rsid w:val="003F5842"/>
    <w:rsid w:val="003F5851"/>
    <w:rsid w:val="003F5869"/>
    <w:rsid w:val="003F591A"/>
    <w:rsid w:val="003F5BCB"/>
    <w:rsid w:val="003F5F51"/>
    <w:rsid w:val="003F6190"/>
    <w:rsid w:val="003F687B"/>
    <w:rsid w:val="003F68AD"/>
    <w:rsid w:val="003F6AA4"/>
    <w:rsid w:val="003F6BE4"/>
    <w:rsid w:val="003F6CE3"/>
    <w:rsid w:val="003F6E85"/>
    <w:rsid w:val="003F6EDC"/>
    <w:rsid w:val="003F7145"/>
    <w:rsid w:val="003F7254"/>
    <w:rsid w:val="003F737A"/>
    <w:rsid w:val="003F75A6"/>
    <w:rsid w:val="003F766B"/>
    <w:rsid w:val="003F76E4"/>
    <w:rsid w:val="003F7814"/>
    <w:rsid w:val="003F78A9"/>
    <w:rsid w:val="003F7916"/>
    <w:rsid w:val="003F7A37"/>
    <w:rsid w:val="003F7DEB"/>
    <w:rsid w:val="003F7E46"/>
    <w:rsid w:val="00400000"/>
    <w:rsid w:val="004000AC"/>
    <w:rsid w:val="004006AF"/>
    <w:rsid w:val="0040070B"/>
    <w:rsid w:val="004007FE"/>
    <w:rsid w:val="00400C7A"/>
    <w:rsid w:val="00400E1E"/>
    <w:rsid w:val="00400EE3"/>
    <w:rsid w:val="00400F8D"/>
    <w:rsid w:val="0040111B"/>
    <w:rsid w:val="0040150C"/>
    <w:rsid w:val="00401C5A"/>
    <w:rsid w:val="00401E4D"/>
    <w:rsid w:val="00401F60"/>
    <w:rsid w:val="00401FFE"/>
    <w:rsid w:val="0040204B"/>
    <w:rsid w:val="00402088"/>
    <w:rsid w:val="00402169"/>
    <w:rsid w:val="00402237"/>
    <w:rsid w:val="0040229A"/>
    <w:rsid w:val="0040256A"/>
    <w:rsid w:val="004027BA"/>
    <w:rsid w:val="0040282C"/>
    <w:rsid w:val="00402883"/>
    <w:rsid w:val="00402ACB"/>
    <w:rsid w:val="00402AF4"/>
    <w:rsid w:val="00402C7F"/>
    <w:rsid w:val="00402DAA"/>
    <w:rsid w:val="00402EF1"/>
    <w:rsid w:val="00403139"/>
    <w:rsid w:val="004033F2"/>
    <w:rsid w:val="004036B1"/>
    <w:rsid w:val="004036F0"/>
    <w:rsid w:val="0040376F"/>
    <w:rsid w:val="004037DA"/>
    <w:rsid w:val="0040395E"/>
    <w:rsid w:val="004039B9"/>
    <w:rsid w:val="004039C3"/>
    <w:rsid w:val="004039E1"/>
    <w:rsid w:val="00403FF1"/>
    <w:rsid w:val="0040446B"/>
    <w:rsid w:val="0040456D"/>
    <w:rsid w:val="0040456E"/>
    <w:rsid w:val="00404612"/>
    <w:rsid w:val="00404649"/>
    <w:rsid w:val="00404835"/>
    <w:rsid w:val="00404936"/>
    <w:rsid w:val="00404979"/>
    <w:rsid w:val="00404C86"/>
    <w:rsid w:val="00404E62"/>
    <w:rsid w:val="00404E8D"/>
    <w:rsid w:val="004050B0"/>
    <w:rsid w:val="00405192"/>
    <w:rsid w:val="004051A5"/>
    <w:rsid w:val="004055EB"/>
    <w:rsid w:val="0040568D"/>
    <w:rsid w:val="004057E9"/>
    <w:rsid w:val="00405812"/>
    <w:rsid w:val="00405830"/>
    <w:rsid w:val="0040587D"/>
    <w:rsid w:val="004059F6"/>
    <w:rsid w:val="00405A08"/>
    <w:rsid w:val="00405A24"/>
    <w:rsid w:val="00405A9D"/>
    <w:rsid w:val="00405AA1"/>
    <w:rsid w:val="00405AB3"/>
    <w:rsid w:val="00405ED2"/>
    <w:rsid w:val="0040613E"/>
    <w:rsid w:val="0040619B"/>
    <w:rsid w:val="0040619F"/>
    <w:rsid w:val="004061CE"/>
    <w:rsid w:val="00406220"/>
    <w:rsid w:val="00406340"/>
    <w:rsid w:val="00406358"/>
    <w:rsid w:val="0040640C"/>
    <w:rsid w:val="004064AD"/>
    <w:rsid w:val="0040658B"/>
    <w:rsid w:val="004067C6"/>
    <w:rsid w:val="004067DA"/>
    <w:rsid w:val="0040686B"/>
    <w:rsid w:val="004068E5"/>
    <w:rsid w:val="00406A97"/>
    <w:rsid w:val="00406B9D"/>
    <w:rsid w:val="00407350"/>
    <w:rsid w:val="0040751D"/>
    <w:rsid w:val="0040759A"/>
    <w:rsid w:val="004079DE"/>
    <w:rsid w:val="00407CA1"/>
    <w:rsid w:val="00407CDB"/>
    <w:rsid w:val="00407E1F"/>
    <w:rsid w:val="00407F74"/>
    <w:rsid w:val="00407FBE"/>
    <w:rsid w:val="0041028B"/>
    <w:rsid w:val="004102C5"/>
    <w:rsid w:val="004107C5"/>
    <w:rsid w:val="00410874"/>
    <w:rsid w:val="004108F1"/>
    <w:rsid w:val="00410A13"/>
    <w:rsid w:val="00410A2D"/>
    <w:rsid w:val="00410ADA"/>
    <w:rsid w:val="00410BB3"/>
    <w:rsid w:val="00410C19"/>
    <w:rsid w:val="00410C1B"/>
    <w:rsid w:val="00410D0E"/>
    <w:rsid w:val="00410F4C"/>
    <w:rsid w:val="00410FD3"/>
    <w:rsid w:val="00411037"/>
    <w:rsid w:val="0041152D"/>
    <w:rsid w:val="004119B3"/>
    <w:rsid w:val="00411AEB"/>
    <w:rsid w:val="00411E52"/>
    <w:rsid w:val="0041213B"/>
    <w:rsid w:val="004121CB"/>
    <w:rsid w:val="00412203"/>
    <w:rsid w:val="0041223F"/>
    <w:rsid w:val="00412368"/>
    <w:rsid w:val="00412750"/>
    <w:rsid w:val="004129B0"/>
    <w:rsid w:val="00412EAF"/>
    <w:rsid w:val="00413024"/>
    <w:rsid w:val="00413069"/>
    <w:rsid w:val="004132CC"/>
    <w:rsid w:val="004134E8"/>
    <w:rsid w:val="004136D8"/>
    <w:rsid w:val="004139F7"/>
    <w:rsid w:val="00413A45"/>
    <w:rsid w:val="00413A72"/>
    <w:rsid w:val="00413CA8"/>
    <w:rsid w:val="00413D04"/>
    <w:rsid w:val="00413D1A"/>
    <w:rsid w:val="00413F40"/>
    <w:rsid w:val="00413F4E"/>
    <w:rsid w:val="0041408C"/>
    <w:rsid w:val="004140C2"/>
    <w:rsid w:val="004140D0"/>
    <w:rsid w:val="00414359"/>
    <w:rsid w:val="00414386"/>
    <w:rsid w:val="0041442E"/>
    <w:rsid w:val="00414551"/>
    <w:rsid w:val="0041468D"/>
    <w:rsid w:val="0041472F"/>
    <w:rsid w:val="00414887"/>
    <w:rsid w:val="00414BE4"/>
    <w:rsid w:val="00414D68"/>
    <w:rsid w:val="00414E0E"/>
    <w:rsid w:val="00415037"/>
    <w:rsid w:val="00415536"/>
    <w:rsid w:val="00415593"/>
    <w:rsid w:val="004155E1"/>
    <w:rsid w:val="0041569F"/>
    <w:rsid w:val="0041591A"/>
    <w:rsid w:val="004159B8"/>
    <w:rsid w:val="004159D0"/>
    <w:rsid w:val="00415E7A"/>
    <w:rsid w:val="004162BE"/>
    <w:rsid w:val="004163CC"/>
    <w:rsid w:val="004163E7"/>
    <w:rsid w:val="004163FE"/>
    <w:rsid w:val="004166D4"/>
    <w:rsid w:val="00416792"/>
    <w:rsid w:val="004167B7"/>
    <w:rsid w:val="00416A79"/>
    <w:rsid w:val="00416DF9"/>
    <w:rsid w:val="00416EAE"/>
    <w:rsid w:val="00417159"/>
    <w:rsid w:val="004173EB"/>
    <w:rsid w:val="00417414"/>
    <w:rsid w:val="004175F7"/>
    <w:rsid w:val="00417818"/>
    <w:rsid w:val="004178A3"/>
    <w:rsid w:val="00417927"/>
    <w:rsid w:val="00420047"/>
    <w:rsid w:val="004200A0"/>
    <w:rsid w:val="0042047F"/>
    <w:rsid w:val="004206CA"/>
    <w:rsid w:val="00420C0D"/>
    <w:rsid w:val="00420D4B"/>
    <w:rsid w:val="00420FED"/>
    <w:rsid w:val="00421198"/>
    <w:rsid w:val="004212E9"/>
    <w:rsid w:val="004215D9"/>
    <w:rsid w:val="004216ED"/>
    <w:rsid w:val="0042171D"/>
    <w:rsid w:val="00421734"/>
    <w:rsid w:val="00421927"/>
    <w:rsid w:val="00421968"/>
    <w:rsid w:val="004219B9"/>
    <w:rsid w:val="00421A1A"/>
    <w:rsid w:val="00421D21"/>
    <w:rsid w:val="00421E9E"/>
    <w:rsid w:val="00421F8D"/>
    <w:rsid w:val="00422173"/>
    <w:rsid w:val="00422296"/>
    <w:rsid w:val="004222D2"/>
    <w:rsid w:val="00422390"/>
    <w:rsid w:val="004225CE"/>
    <w:rsid w:val="0042262D"/>
    <w:rsid w:val="0042269B"/>
    <w:rsid w:val="00422771"/>
    <w:rsid w:val="00422D04"/>
    <w:rsid w:val="00422D79"/>
    <w:rsid w:val="00422E03"/>
    <w:rsid w:val="00423344"/>
    <w:rsid w:val="004234A1"/>
    <w:rsid w:val="004234BD"/>
    <w:rsid w:val="00423618"/>
    <w:rsid w:val="00423CED"/>
    <w:rsid w:val="00424084"/>
    <w:rsid w:val="004240E3"/>
    <w:rsid w:val="004242FB"/>
    <w:rsid w:val="004244FD"/>
    <w:rsid w:val="004248BA"/>
    <w:rsid w:val="004249B8"/>
    <w:rsid w:val="00424C36"/>
    <w:rsid w:val="00424E0A"/>
    <w:rsid w:val="0042508B"/>
    <w:rsid w:val="004252ED"/>
    <w:rsid w:val="004256F4"/>
    <w:rsid w:val="00425797"/>
    <w:rsid w:val="004257B8"/>
    <w:rsid w:val="004257FD"/>
    <w:rsid w:val="00425B87"/>
    <w:rsid w:val="00425EFF"/>
    <w:rsid w:val="004262DA"/>
    <w:rsid w:val="00426775"/>
    <w:rsid w:val="0042679D"/>
    <w:rsid w:val="00426E3D"/>
    <w:rsid w:val="00426FF3"/>
    <w:rsid w:val="0042756B"/>
    <w:rsid w:val="004277ED"/>
    <w:rsid w:val="00427802"/>
    <w:rsid w:val="00427817"/>
    <w:rsid w:val="004278F7"/>
    <w:rsid w:val="00427AC8"/>
    <w:rsid w:val="00427B91"/>
    <w:rsid w:val="00427D2C"/>
    <w:rsid w:val="00427E20"/>
    <w:rsid w:val="004300C7"/>
    <w:rsid w:val="0043037E"/>
    <w:rsid w:val="0043062F"/>
    <w:rsid w:val="00430756"/>
    <w:rsid w:val="00430835"/>
    <w:rsid w:val="004308A6"/>
    <w:rsid w:val="00430D3D"/>
    <w:rsid w:val="00430ED3"/>
    <w:rsid w:val="00430F56"/>
    <w:rsid w:val="00430F75"/>
    <w:rsid w:val="004314F4"/>
    <w:rsid w:val="004315BC"/>
    <w:rsid w:val="0043175A"/>
    <w:rsid w:val="004318C4"/>
    <w:rsid w:val="004318CE"/>
    <w:rsid w:val="00431922"/>
    <w:rsid w:val="00431BC4"/>
    <w:rsid w:val="00431F57"/>
    <w:rsid w:val="00432318"/>
    <w:rsid w:val="004323BF"/>
    <w:rsid w:val="0043240A"/>
    <w:rsid w:val="00432619"/>
    <w:rsid w:val="004326F5"/>
    <w:rsid w:val="00432800"/>
    <w:rsid w:val="00432AAA"/>
    <w:rsid w:val="00432D15"/>
    <w:rsid w:val="00433218"/>
    <w:rsid w:val="004333A2"/>
    <w:rsid w:val="0043376B"/>
    <w:rsid w:val="00433822"/>
    <w:rsid w:val="00433837"/>
    <w:rsid w:val="00433A28"/>
    <w:rsid w:val="00433ADF"/>
    <w:rsid w:val="00433AF3"/>
    <w:rsid w:val="00433D05"/>
    <w:rsid w:val="00433DDB"/>
    <w:rsid w:val="004342D4"/>
    <w:rsid w:val="00434460"/>
    <w:rsid w:val="00434584"/>
    <w:rsid w:val="0043459A"/>
    <w:rsid w:val="0043462B"/>
    <w:rsid w:val="00434A5A"/>
    <w:rsid w:val="00434CD3"/>
    <w:rsid w:val="00434FF4"/>
    <w:rsid w:val="00435348"/>
    <w:rsid w:val="00435935"/>
    <w:rsid w:val="00435BBA"/>
    <w:rsid w:val="00435D6F"/>
    <w:rsid w:val="00435EAF"/>
    <w:rsid w:val="0043601C"/>
    <w:rsid w:val="004361D9"/>
    <w:rsid w:val="0043631A"/>
    <w:rsid w:val="00436699"/>
    <w:rsid w:val="0043679A"/>
    <w:rsid w:val="00436A40"/>
    <w:rsid w:val="00436A96"/>
    <w:rsid w:val="00436C50"/>
    <w:rsid w:val="00436C5F"/>
    <w:rsid w:val="00436D19"/>
    <w:rsid w:val="0043714F"/>
    <w:rsid w:val="004371E0"/>
    <w:rsid w:val="004373A2"/>
    <w:rsid w:val="00437432"/>
    <w:rsid w:val="004375D2"/>
    <w:rsid w:val="00437694"/>
    <w:rsid w:val="004376D6"/>
    <w:rsid w:val="004379C3"/>
    <w:rsid w:val="00437CB7"/>
    <w:rsid w:val="004401F5"/>
    <w:rsid w:val="0044049D"/>
    <w:rsid w:val="00440529"/>
    <w:rsid w:val="00440660"/>
    <w:rsid w:val="00440661"/>
    <w:rsid w:val="0044090A"/>
    <w:rsid w:val="00440A9A"/>
    <w:rsid w:val="00440BA4"/>
    <w:rsid w:val="00441278"/>
    <w:rsid w:val="004412B6"/>
    <w:rsid w:val="004414BE"/>
    <w:rsid w:val="004414C2"/>
    <w:rsid w:val="004415D6"/>
    <w:rsid w:val="00441830"/>
    <w:rsid w:val="00441853"/>
    <w:rsid w:val="004419AC"/>
    <w:rsid w:val="00441AEC"/>
    <w:rsid w:val="00441B19"/>
    <w:rsid w:val="00441B6E"/>
    <w:rsid w:val="00441E38"/>
    <w:rsid w:val="00442162"/>
    <w:rsid w:val="004421FA"/>
    <w:rsid w:val="004422A9"/>
    <w:rsid w:val="004422D8"/>
    <w:rsid w:val="00442609"/>
    <w:rsid w:val="004427A3"/>
    <w:rsid w:val="004428E5"/>
    <w:rsid w:val="00442992"/>
    <w:rsid w:val="00442C55"/>
    <w:rsid w:val="00442DF5"/>
    <w:rsid w:val="00442E1D"/>
    <w:rsid w:val="00443089"/>
    <w:rsid w:val="00443092"/>
    <w:rsid w:val="004436D5"/>
    <w:rsid w:val="00443716"/>
    <w:rsid w:val="004438AD"/>
    <w:rsid w:val="004439E5"/>
    <w:rsid w:val="00443BE4"/>
    <w:rsid w:val="00443E2F"/>
    <w:rsid w:val="0044438A"/>
    <w:rsid w:val="00444556"/>
    <w:rsid w:val="004445A1"/>
    <w:rsid w:val="004445EC"/>
    <w:rsid w:val="0044465B"/>
    <w:rsid w:val="00444670"/>
    <w:rsid w:val="004446FB"/>
    <w:rsid w:val="004448C4"/>
    <w:rsid w:val="00444AC6"/>
    <w:rsid w:val="00444B0D"/>
    <w:rsid w:val="00444F02"/>
    <w:rsid w:val="004450AE"/>
    <w:rsid w:val="0044515E"/>
    <w:rsid w:val="004454DA"/>
    <w:rsid w:val="0044564A"/>
    <w:rsid w:val="00445921"/>
    <w:rsid w:val="00445C74"/>
    <w:rsid w:val="00445D4C"/>
    <w:rsid w:val="00445F36"/>
    <w:rsid w:val="0044617A"/>
    <w:rsid w:val="00446B1D"/>
    <w:rsid w:val="00446DD8"/>
    <w:rsid w:val="0044710E"/>
    <w:rsid w:val="00447198"/>
    <w:rsid w:val="0044725E"/>
    <w:rsid w:val="0044726F"/>
    <w:rsid w:val="00447434"/>
    <w:rsid w:val="00447539"/>
    <w:rsid w:val="00447A33"/>
    <w:rsid w:val="00447AF4"/>
    <w:rsid w:val="00447E2F"/>
    <w:rsid w:val="00450086"/>
    <w:rsid w:val="004501AD"/>
    <w:rsid w:val="00450678"/>
    <w:rsid w:val="0045097E"/>
    <w:rsid w:val="004509CC"/>
    <w:rsid w:val="00450B0D"/>
    <w:rsid w:val="00450F0D"/>
    <w:rsid w:val="0045105E"/>
    <w:rsid w:val="00451180"/>
    <w:rsid w:val="00451211"/>
    <w:rsid w:val="004513A6"/>
    <w:rsid w:val="0045155E"/>
    <w:rsid w:val="0045181B"/>
    <w:rsid w:val="0045188F"/>
    <w:rsid w:val="00451BD3"/>
    <w:rsid w:val="00451EC4"/>
    <w:rsid w:val="00451FEC"/>
    <w:rsid w:val="00452013"/>
    <w:rsid w:val="004522EF"/>
    <w:rsid w:val="0045251D"/>
    <w:rsid w:val="004525D5"/>
    <w:rsid w:val="004528F9"/>
    <w:rsid w:val="00452FBA"/>
    <w:rsid w:val="00452FE8"/>
    <w:rsid w:val="0045301C"/>
    <w:rsid w:val="004530E9"/>
    <w:rsid w:val="004530F7"/>
    <w:rsid w:val="0045348D"/>
    <w:rsid w:val="00453679"/>
    <w:rsid w:val="00453815"/>
    <w:rsid w:val="00453994"/>
    <w:rsid w:val="00453B7D"/>
    <w:rsid w:val="00453C76"/>
    <w:rsid w:val="00453CF3"/>
    <w:rsid w:val="00453EBC"/>
    <w:rsid w:val="00454226"/>
    <w:rsid w:val="00454446"/>
    <w:rsid w:val="004544DE"/>
    <w:rsid w:val="004546DF"/>
    <w:rsid w:val="00454B39"/>
    <w:rsid w:val="00454BC4"/>
    <w:rsid w:val="00454E49"/>
    <w:rsid w:val="00454E53"/>
    <w:rsid w:val="00454E70"/>
    <w:rsid w:val="00454F0A"/>
    <w:rsid w:val="004550C2"/>
    <w:rsid w:val="0045513D"/>
    <w:rsid w:val="004553E8"/>
    <w:rsid w:val="004554A3"/>
    <w:rsid w:val="004557BC"/>
    <w:rsid w:val="004561F7"/>
    <w:rsid w:val="00456589"/>
    <w:rsid w:val="00456702"/>
    <w:rsid w:val="00456E2C"/>
    <w:rsid w:val="00456E98"/>
    <w:rsid w:val="00457348"/>
    <w:rsid w:val="0045741C"/>
    <w:rsid w:val="004576EA"/>
    <w:rsid w:val="00457854"/>
    <w:rsid w:val="00457ABE"/>
    <w:rsid w:val="00457D7F"/>
    <w:rsid w:val="00457DD6"/>
    <w:rsid w:val="00460202"/>
    <w:rsid w:val="00460608"/>
    <w:rsid w:val="004609E0"/>
    <w:rsid w:val="00460C0B"/>
    <w:rsid w:val="00460F97"/>
    <w:rsid w:val="00461147"/>
    <w:rsid w:val="004611C4"/>
    <w:rsid w:val="004611FD"/>
    <w:rsid w:val="004612F8"/>
    <w:rsid w:val="00461300"/>
    <w:rsid w:val="0046131A"/>
    <w:rsid w:val="0046139C"/>
    <w:rsid w:val="004614B8"/>
    <w:rsid w:val="004614DE"/>
    <w:rsid w:val="00461615"/>
    <w:rsid w:val="0046169A"/>
    <w:rsid w:val="00461AD7"/>
    <w:rsid w:val="00461AFA"/>
    <w:rsid w:val="00461B53"/>
    <w:rsid w:val="00461C97"/>
    <w:rsid w:val="00461E24"/>
    <w:rsid w:val="00461F0B"/>
    <w:rsid w:val="00461F38"/>
    <w:rsid w:val="0046211E"/>
    <w:rsid w:val="00462432"/>
    <w:rsid w:val="004625E6"/>
    <w:rsid w:val="004626F2"/>
    <w:rsid w:val="004627EA"/>
    <w:rsid w:val="004628D2"/>
    <w:rsid w:val="004629C1"/>
    <w:rsid w:val="00462AF2"/>
    <w:rsid w:val="00462D26"/>
    <w:rsid w:val="0046331D"/>
    <w:rsid w:val="00463370"/>
    <w:rsid w:val="004635BB"/>
    <w:rsid w:val="0046370C"/>
    <w:rsid w:val="004637CE"/>
    <w:rsid w:val="00463C7E"/>
    <w:rsid w:val="00463EC3"/>
    <w:rsid w:val="0046449D"/>
    <w:rsid w:val="004644BC"/>
    <w:rsid w:val="004645FF"/>
    <w:rsid w:val="0046465E"/>
    <w:rsid w:val="004647A8"/>
    <w:rsid w:val="004647AA"/>
    <w:rsid w:val="00464828"/>
    <w:rsid w:val="00464A28"/>
    <w:rsid w:val="00464BE5"/>
    <w:rsid w:val="00464F1A"/>
    <w:rsid w:val="00465162"/>
    <w:rsid w:val="004651AC"/>
    <w:rsid w:val="004651CD"/>
    <w:rsid w:val="00465325"/>
    <w:rsid w:val="004654FD"/>
    <w:rsid w:val="0046575B"/>
    <w:rsid w:val="0046589C"/>
    <w:rsid w:val="00465C44"/>
    <w:rsid w:val="00465CD0"/>
    <w:rsid w:val="00465D61"/>
    <w:rsid w:val="004662B6"/>
    <w:rsid w:val="004662D6"/>
    <w:rsid w:val="0046630E"/>
    <w:rsid w:val="0046647F"/>
    <w:rsid w:val="0046657E"/>
    <w:rsid w:val="0046661A"/>
    <w:rsid w:val="0046673D"/>
    <w:rsid w:val="00466965"/>
    <w:rsid w:val="004669D8"/>
    <w:rsid w:val="00466A5F"/>
    <w:rsid w:val="00466AEE"/>
    <w:rsid w:val="00466B41"/>
    <w:rsid w:val="00466BFA"/>
    <w:rsid w:val="00466CFB"/>
    <w:rsid w:val="00466D1C"/>
    <w:rsid w:val="00466DD0"/>
    <w:rsid w:val="00466FB9"/>
    <w:rsid w:val="00467301"/>
    <w:rsid w:val="0046731B"/>
    <w:rsid w:val="00467611"/>
    <w:rsid w:val="0046773E"/>
    <w:rsid w:val="0046780B"/>
    <w:rsid w:val="00467854"/>
    <w:rsid w:val="00467A1F"/>
    <w:rsid w:val="00467B6A"/>
    <w:rsid w:val="00467C48"/>
    <w:rsid w:val="00467CCB"/>
    <w:rsid w:val="00467DED"/>
    <w:rsid w:val="00467DFA"/>
    <w:rsid w:val="0047005C"/>
    <w:rsid w:val="00470120"/>
    <w:rsid w:val="0047015B"/>
    <w:rsid w:val="0047037E"/>
    <w:rsid w:val="004704DC"/>
    <w:rsid w:val="0047063B"/>
    <w:rsid w:val="004708A9"/>
    <w:rsid w:val="00470A21"/>
    <w:rsid w:val="00470BC3"/>
    <w:rsid w:val="00470C04"/>
    <w:rsid w:val="00470CC9"/>
    <w:rsid w:val="00470DE8"/>
    <w:rsid w:val="00470EEA"/>
    <w:rsid w:val="00470F79"/>
    <w:rsid w:val="00471560"/>
    <w:rsid w:val="00471632"/>
    <w:rsid w:val="00471C4D"/>
    <w:rsid w:val="00471E0C"/>
    <w:rsid w:val="00471E0D"/>
    <w:rsid w:val="00472157"/>
    <w:rsid w:val="0047242E"/>
    <w:rsid w:val="004725D0"/>
    <w:rsid w:val="004726DA"/>
    <w:rsid w:val="0047277B"/>
    <w:rsid w:val="00472847"/>
    <w:rsid w:val="00472972"/>
    <w:rsid w:val="00472C6D"/>
    <w:rsid w:val="00472CBE"/>
    <w:rsid w:val="00472F02"/>
    <w:rsid w:val="0047387F"/>
    <w:rsid w:val="00473B16"/>
    <w:rsid w:val="00473C42"/>
    <w:rsid w:val="00473D61"/>
    <w:rsid w:val="00473D6F"/>
    <w:rsid w:val="00473E35"/>
    <w:rsid w:val="00474008"/>
    <w:rsid w:val="004747AD"/>
    <w:rsid w:val="00474846"/>
    <w:rsid w:val="00474A21"/>
    <w:rsid w:val="00474B2B"/>
    <w:rsid w:val="00474BBE"/>
    <w:rsid w:val="00474D7A"/>
    <w:rsid w:val="00474D94"/>
    <w:rsid w:val="00474DF3"/>
    <w:rsid w:val="00474E51"/>
    <w:rsid w:val="00474EDC"/>
    <w:rsid w:val="004750B8"/>
    <w:rsid w:val="00475432"/>
    <w:rsid w:val="004756D0"/>
    <w:rsid w:val="0047591D"/>
    <w:rsid w:val="00475AEE"/>
    <w:rsid w:val="00475D43"/>
    <w:rsid w:val="00475EC9"/>
    <w:rsid w:val="00475F32"/>
    <w:rsid w:val="00475FF3"/>
    <w:rsid w:val="00476207"/>
    <w:rsid w:val="00476380"/>
    <w:rsid w:val="004764C5"/>
    <w:rsid w:val="004767B8"/>
    <w:rsid w:val="00476993"/>
    <w:rsid w:val="00476B82"/>
    <w:rsid w:val="00476B8B"/>
    <w:rsid w:val="00476D05"/>
    <w:rsid w:val="00477029"/>
    <w:rsid w:val="0047715E"/>
    <w:rsid w:val="0047744F"/>
    <w:rsid w:val="00477683"/>
    <w:rsid w:val="00477907"/>
    <w:rsid w:val="004779B8"/>
    <w:rsid w:val="00477D78"/>
    <w:rsid w:val="00477F5C"/>
    <w:rsid w:val="004805CF"/>
    <w:rsid w:val="00480A86"/>
    <w:rsid w:val="00480BB1"/>
    <w:rsid w:val="00480C6B"/>
    <w:rsid w:val="00480F47"/>
    <w:rsid w:val="00480F4A"/>
    <w:rsid w:val="0048105F"/>
    <w:rsid w:val="00481117"/>
    <w:rsid w:val="0048122E"/>
    <w:rsid w:val="004819E7"/>
    <w:rsid w:val="004819F6"/>
    <w:rsid w:val="00481C2C"/>
    <w:rsid w:val="00481FBE"/>
    <w:rsid w:val="0048200A"/>
    <w:rsid w:val="0048229C"/>
    <w:rsid w:val="0048256D"/>
    <w:rsid w:val="0048268C"/>
    <w:rsid w:val="004827E8"/>
    <w:rsid w:val="0048280C"/>
    <w:rsid w:val="0048281F"/>
    <w:rsid w:val="004829BF"/>
    <w:rsid w:val="00482B51"/>
    <w:rsid w:val="00482EE5"/>
    <w:rsid w:val="00482FC4"/>
    <w:rsid w:val="0048313D"/>
    <w:rsid w:val="00483164"/>
    <w:rsid w:val="00483371"/>
    <w:rsid w:val="004834BA"/>
    <w:rsid w:val="004835D9"/>
    <w:rsid w:val="004835E0"/>
    <w:rsid w:val="004838C1"/>
    <w:rsid w:val="00483930"/>
    <w:rsid w:val="004839FA"/>
    <w:rsid w:val="00483C65"/>
    <w:rsid w:val="00483C6D"/>
    <w:rsid w:val="00483CE6"/>
    <w:rsid w:val="00483D60"/>
    <w:rsid w:val="004840A2"/>
    <w:rsid w:val="00484227"/>
    <w:rsid w:val="004843F9"/>
    <w:rsid w:val="00484470"/>
    <w:rsid w:val="004844C2"/>
    <w:rsid w:val="004844E8"/>
    <w:rsid w:val="004845C8"/>
    <w:rsid w:val="00484737"/>
    <w:rsid w:val="004848AA"/>
    <w:rsid w:val="0048496F"/>
    <w:rsid w:val="00484976"/>
    <w:rsid w:val="004849C4"/>
    <w:rsid w:val="00484A69"/>
    <w:rsid w:val="00484B02"/>
    <w:rsid w:val="00484B63"/>
    <w:rsid w:val="00484CB1"/>
    <w:rsid w:val="00484D05"/>
    <w:rsid w:val="00484D4B"/>
    <w:rsid w:val="00485177"/>
    <w:rsid w:val="00485347"/>
    <w:rsid w:val="004853FB"/>
    <w:rsid w:val="004854A5"/>
    <w:rsid w:val="004857E9"/>
    <w:rsid w:val="00485BDA"/>
    <w:rsid w:val="00485C81"/>
    <w:rsid w:val="00485CFA"/>
    <w:rsid w:val="00485DC9"/>
    <w:rsid w:val="00485E82"/>
    <w:rsid w:val="00485FF3"/>
    <w:rsid w:val="00486027"/>
    <w:rsid w:val="00486039"/>
    <w:rsid w:val="00486216"/>
    <w:rsid w:val="00486241"/>
    <w:rsid w:val="00486332"/>
    <w:rsid w:val="00486469"/>
    <w:rsid w:val="00486829"/>
    <w:rsid w:val="004869CC"/>
    <w:rsid w:val="00486AC9"/>
    <w:rsid w:val="00486B16"/>
    <w:rsid w:val="00486CAA"/>
    <w:rsid w:val="00486D8D"/>
    <w:rsid w:val="00487311"/>
    <w:rsid w:val="00487430"/>
    <w:rsid w:val="004875F1"/>
    <w:rsid w:val="00487689"/>
    <w:rsid w:val="00487817"/>
    <w:rsid w:val="00487BFD"/>
    <w:rsid w:val="00487EAA"/>
    <w:rsid w:val="0049004E"/>
    <w:rsid w:val="0049027C"/>
    <w:rsid w:val="00490860"/>
    <w:rsid w:val="0049093A"/>
    <w:rsid w:val="00490C62"/>
    <w:rsid w:val="00490D90"/>
    <w:rsid w:val="00490EA4"/>
    <w:rsid w:val="00490F7E"/>
    <w:rsid w:val="0049110F"/>
    <w:rsid w:val="004911AE"/>
    <w:rsid w:val="0049126C"/>
    <w:rsid w:val="00491365"/>
    <w:rsid w:val="00491546"/>
    <w:rsid w:val="004916F9"/>
    <w:rsid w:val="004919E1"/>
    <w:rsid w:val="00491B00"/>
    <w:rsid w:val="00491D01"/>
    <w:rsid w:val="00491DDF"/>
    <w:rsid w:val="004920EC"/>
    <w:rsid w:val="0049222C"/>
    <w:rsid w:val="00492481"/>
    <w:rsid w:val="00492503"/>
    <w:rsid w:val="0049251A"/>
    <w:rsid w:val="004926EA"/>
    <w:rsid w:val="00492760"/>
    <w:rsid w:val="004928E5"/>
    <w:rsid w:val="00492922"/>
    <w:rsid w:val="00492959"/>
    <w:rsid w:val="00492B24"/>
    <w:rsid w:val="00493150"/>
    <w:rsid w:val="00493455"/>
    <w:rsid w:val="004934BB"/>
    <w:rsid w:val="0049357F"/>
    <w:rsid w:val="004935E1"/>
    <w:rsid w:val="004938C0"/>
    <w:rsid w:val="0049390C"/>
    <w:rsid w:val="00493A15"/>
    <w:rsid w:val="00493B39"/>
    <w:rsid w:val="00493C62"/>
    <w:rsid w:val="00493F31"/>
    <w:rsid w:val="00493FBA"/>
    <w:rsid w:val="004944AF"/>
    <w:rsid w:val="00494562"/>
    <w:rsid w:val="004945DE"/>
    <w:rsid w:val="004945FE"/>
    <w:rsid w:val="004947E8"/>
    <w:rsid w:val="0049480E"/>
    <w:rsid w:val="00494BE2"/>
    <w:rsid w:val="00494BFE"/>
    <w:rsid w:val="00494C93"/>
    <w:rsid w:val="00494E15"/>
    <w:rsid w:val="0049505F"/>
    <w:rsid w:val="00495116"/>
    <w:rsid w:val="004953B8"/>
    <w:rsid w:val="00495461"/>
    <w:rsid w:val="004954CB"/>
    <w:rsid w:val="00495D3D"/>
    <w:rsid w:val="00495FEE"/>
    <w:rsid w:val="0049615D"/>
    <w:rsid w:val="0049656C"/>
    <w:rsid w:val="0049664A"/>
    <w:rsid w:val="004967EC"/>
    <w:rsid w:val="004967FF"/>
    <w:rsid w:val="004968FA"/>
    <w:rsid w:val="00496BC5"/>
    <w:rsid w:val="00496CDC"/>
    <w:rsid w:val="00497005"/>
    <w:rsid w:val="00497197"/>
    <w:rsid w:val="004971A4"/>
    <w:rsid w:val="004971DF"/>
    <w:rsid w:val="00497243"/>
    <w:rsid w:val="0049727D"/>
    <w:rsid w:val="00497500"/>
    <w:rsid w:val="0049750C"/>
    <w:rsid w:val="004976AD"/>
    <w:rsid w:val="004976E6"/>
    <w:rsid w:val="00497875"/>
    <w:rsid w:val="00497FD9"/>
    <w:rsid w:val="004A0215"/>
    <w:rsid w:val="004A022C"/>
    <w:rsid w:val="004A070A"/>
    <w:rsid w:val="004A0824"/>
    <w:rsid w:val="004A091A"/>
    <w:rsid w:val="004A0A3F"/>
    <w:rsid w:val="004A0A97"/>
    <w:rsid w:val="004A0AEC"/>
    <w:rsid w:val="004A0D49"/>
    <w:rsid w:val="004A0D9D"/>
    <w:rsid w:val="004A0F1D"/>
    <w:rsid w:val="004A0FBB"/>
    <w:rsid w:val="004A11F4"/>
    <w:rsid w:val="004A1266"/>
    <w:rsid w:val="004A1277"/>
    <w:rsid w:val="004A17BB"/>
    <w:rsid w:val="004A17EC"/>
    <w:rsid w:val="004A1829"/>
    <w:rsid w:val="004A1A39"/>
    <w:rsid w:val="004A1B08"/>
    <w:rsid w:val="004A1C46"/>
    <w:rsid w:val="004A2221"/>
    <w:rsid w:val="004A230F"/>
    <w:rsid w:val="004A27E2"/>
    <w:rsid w:val="004A2899"/>
    <w:rsid w:val="004A28D3"/>
    <w:rsid w:val="004A28E0"/>
    <w:rsid w:val="004A2973"/>
    <w:rsid w:val="004A2B81"/>
    <w:rsid w:val="004A2D39"/>
    <w:rsid w:val="004A2D48"/>
    <w:rsid w:val="004A2DD5"/>
    <w:rsid w:val="004A2EA1"/>
    <w:rsid w:val="004A2F25"/>
    <w:rsid w:val="004A2F95"/>
    <w:rsid w:val="004A3082"/>
    <w:rsid w:val="004A308F"/>
    <w:rsid w:val="004A3498"/>
    <w:rsid w:val="004A34C6"/>
    <w:rsid w:val="004A34D6"/>
    <w:rsid w:val="004A3A46"/>
    <w:rsid w:val="004A3ADD"/>
    <w:rsid w:val="004A3B08"/>
    <w:rsid w:val="004A3B17"/>
    <w:rsid w:val="004A3BBC"/>
    <w:rsid w:val="004A3BF3"/>
    <w:rsid w:val="004A3C09"/>
    <w:rsid w:val="004A3C88"/>
    <w:rsid w:val="004A3CB1"/>
    <w:rsid w:val="004A3ED8"/>
    <w:rsid w:val="004A3F64"/>
    <w:rsid w:val="004A4196"/>
    <w:rsid w:val="004A426D"/>
    <w:rsid w:val="004A4272"/>
    <w:rsid w:val="004A45E6"/>
    <w:rsid w:val="004A4696"/>
    <w:rsid w:val="004A46F1"/>
    <w:rsid w:val="004A488B"/>
    <w:rsid w:val="004A4ADB"/>
    <w:rsid w:val="004A4D8E"/>
    <w:rsid w:val="004A4DC0"/>
    <w:rsid w:val="004A53F1"/>
    <w:rsid w:val="004A54F0"/>
    <w:rsid w:val="004A562D"/>
    <w:rsid w:val="004A5679"/>
    <w:rsid w:val="004A58DE"/>
    <w:rsid w:val="004A5999"/>
    <w:rsid w:val="004A599E"/>
    <w:rsid w:val="004A59C2"/>
    <w:rsid w:val="004A59FC"/>
    <w:rsid w:val="004A5B34"/>
    <w:rsid w:val="004A5F99"/>
    <w:rsid w:val="004A5FC7"/>
    <w:rsid w:val="004A61D0"/>
    <w:rsid w:val="004A6219"/>
    <w:rsid w:val="004A668D"/>
    <w:rsid w:val="004A668F"/>
    <w:rsid w:val="004A6B01"/>
    <w:rsid w:val="004A6E1B"/>
    <w:rsid w:val="004A6E99"/>
    <w:rsid w:val="004A71B9"/>
    <w:rsid w:val="004A72A6"/>
    <w:rsid w:val="004A7387"/>
    <w:rsid w:val="004A7473"/>
    <w:rsid w:val="004A75AF"/>
    <w:rsid w:val="004A76F5"/>
    <w:rsid w:val="004A7725"/>
    <w:rsid w:val="004A7849"/>
    <w:rsid w:val="004A78D5"/>
    <w:rsid w:val="004A7A0C"/>
    <w:rsid w:val="004A7A7E"/>
    <w:rsid w:val="004A7AAF"/>
    <w:rsid w:val="004A7BF3"/>
    <w:rsid w:val="004A7C7A"/>
    <w:rsid w:val="004A7E79"/>
    <w:rsid w:val="004A7F2F"/>
    <w:rsid w:val="004A7FFC"/>
    <w:rsid w:val="004B0122"/>
    <w:rsid w:val="004B01B5"/>
    <w:rsid w:val="004B0351"/>
    <w:rsid w:val="004B03A4"/>
    <w:rsid w:val="004B0AAF"/>
    <w:rsid w:val="004B0B45"/>
    <w:rsid w:val="004B0BCB"/>
    <w:rsid w:val="004B0D73"/>
    <w:rsid w:val="004B0DD6"/>
    <w:rsid w:val="004B0EF7"/>
    <w:rsid w:val="004B1071"/>
    <w:rsid w:val="004B10C9"/>
    <w:rsid w:val="004B124C"/>
    <w:rsid w:val="004B12B1"/>
    <w:rsid w:val="004B12CC"/>
    <w:rsid w:val="004B1BE1"/>
    <w:rsid w:val="004B1C60"/>
    <w:rsid w:val="004B1F3A"/>
    <w:rsid w:val="004B20A2"/>
    <w:rsid w:val="004B2139"/>
    <w:rsid w:val="004B220F"/>
    <w:rsid w:val="004B2382"/>
    <w:rsid w:val="004B2489"/>
    <w:rsid w:val="004B2586"/>
    <w:rsid w:val="004B261C"/>
    <w:rsid w:val="004B28DC"/>
    <w:rsid w:val="004B2922"/>
    <w:rsid w:val="004B2CA9"/>
    <w:rsid w:val="004B2CFB"/>
    <w:rsid w:val="004B2E43"/>
    <w:rsid w:val="004B3114"/>
    <w:rsid w:val="004B31FB"/>
    <w:rsid w:val="004B3778"/>
    <w:rsid w:val="004B3912"/>
    <w:rsid w:val="004B3B50"/>
    <w:rsid w:val="004B3B5E"/>
    <w:rsid w:val="004B3C71"/>
    <w:rsid w:val="004B3D58"/>
    <w:rsid w:val="004B3DEE"/>
    <w:rsid w:val="004B3E93"/>
    <w:rsid w:val="004B3F52"/>
    <w:rsid w:val="004B3FEC"/>
    <w:rsid w:val="004B43B4"/>
    <w:rsid w:val="004B43F0"/>
    <w:rsid w:val="004B4484"/>
    <w:rsid w:val="004B44C8"/>
    <w:rsid w:val="004B48FF"/>
    <w:rsid w:val="004B4FCB"/>
    <w:rsid w:val="004B4FCC"/>
    <w:rsid w:val="004B5177"/>
    <w:rsid w:val="004B5735"/>
    <w:rsid w:val="004B595D"/>
    <w:rsid w:val="004B5B53"/>
    <w:rsid w:val="004B5D25"/>
    <w:rsid w:val="004B5D86"/>
    <w:rsid w:val="004B60A3"/>
    <w:rsid w:val="004B6175"/>
    <w:rsid w:val="004B678F"/>
    <w:rsid w:val="004B68B2"/>
    <w:rsid w:val="004B6AA0"/>
    <w:rsid w:val="004B6C02"/>
    <w:rsid w:val="004B6CA5"/>
    <w:rsid w:val="004B6D52"/>
    <w:rsid w:val="004B6E40"/>
    <w:rsid w:val="004B7072"/>
    <w:rsid w:val="004B7090"/>
    <w:rsid w:val="004B714C"/>
    <w:rsid w:val="004B72E0"/>
    <w:rsid w:val="004B7336"/>
    <w:rsid w:val="004B74CE"/>
    <w:rsid w:val="004B75DB"/>
    <w:rsid w:val="004B79BD"/>
    <w:rsid w:val="004B7B9B"/>
    <w:rsid w:val="004B7DBA"/>
    <w:rsid w:val="004C0526"/>
    <w:rsid w:val="004C05A1"/>
    <w:rsid w:val="004C05A5"/>
    <w:rsid w:val="004C0676"/>
    <w:rsid w:val="004C07DC"/>
    <w:rsid w:val="004C084F"/>
    <w:rsid w:val="004C08FD"/>
    <w:rsid w:val="004C08FE"/>
    <w:rsid w:val="004C0985"/>
    <w:rsid w:val="004C0B70"/>
    <w:rsid w:val="004C0C6B"/>
    <w:rsid w:val="004C0CF1"/>
    <w:rsid w:val="004C1040"/>
    <w:rsid w:val="004C110B"/>
    <w:rsid w:val="004C114C"/>
    <w:rsid w:val="004C1251"/>
    <w:rsid w:val="004C143B"/>
    <w:rsid w:val="004C1446"/>
    <w:rsid w:val="004C1777"/>
    <w:rsid w:val="004C189F"/>
    <w:rsid w:val="004C1BA4"/>
    <w:rsid w:val="004C1C73"/>
    <w:rsid w:val="004C1EE7"/>
    <w:rsid w:val="004C1F43"/>
    <w:rsid w:val="004C1F52"/>
    <w:rsid w:val="004C1FAE"/>
    <w:rsid w:val="004C1FCE"/>
    <w:rsid w:val="004C2042"/>
    <w:rsid w:val="004C20EC"/>
    <w:rsid w:val="004C2196"/>
    <w:rsid w:val="004C231B"/>
    <w:rsid w:val="004C23E5"/>
    <w:rsid w:val="004C262C"/>
    <w:rsid w:val="004C2DDE"/>
    <w:rsid w:val="004C2F8B"/>
    <w:rsid w:val="004C302F"/>
    <w:rsid w:val="004C30A8"/>
    <w:rsid w:val="004C322B"/>
    <w:rsid w:val="004C323F"/>
    <w:rsid w:val="004C32C1"/>
    <w:rsid w:val="004C3457"/>
    <w:rsid w:val="004C37A4"/>
    <w:rsid w:val="004C3AC8"/>
    <w:rsid w:val="004C3BF8"/>
    <w:rsid w:val="004C3D7E"/>
    <w:rsid w:val="004C3D99"/>
    <w:rsid w:val="004C3F7D"/>
    <w:rsid w:val="004C4034"/>
    <w:rsid w:val="004C42C8"/>
    <w:rsid w:val="004C42E0"/>
    <w:rsid w:val="004C42F2"/>
    <w:rsid w:val="004C4348"/>
    <w:rsid w:val="004C4562"/>
    <w:rsid w:val="004C467E"/>
    <w:rsid w:val="004C47E9"/>
    <w:rsid w:val="004C4805"/>
    <w:rsid w:val="004C49BA"/>
    <w:rsid w:val="004C4A15"/>
    <w:rsid w:val="004C4AA1"/>
    <w:rsid w:val="004C4B46"/>
    <w:rsid w:val="004C4D26"/>
    <w:rsid w:val="004C4D48"/>
    <w:rsid w:val="004C4D5C"/>
    <w:rsid w:val="004C51EA"/>
    <w:rsid w:val="004C5372"/>
    <w:rsid w:val="004C555D"/>
    <w:rsid w:val="004C55BF"/>
    <w:rsid w:val="004C5603"/>
    <w:rsid w:val="004C5760"/>
    <w:rsid w:val="004C5877"/>
    <w:rsid w:val="004C5994"/>
    <w:rsid w:val="004C5A5A"/>
    <w:rsid w:val="004C5BFF"/>
    <w:rsid w:val="004C5D03"/>
    <w:rsid w:val="004C5D70"/>
    <w:rsid w:val="004C5DF1"/>
    <w:rsid w:val="004C5E15"/>
    <w:rsid w:val="004C5E64"/>
    <w:rsid w:val="004C6323"/>
    <w:rsid w:val="004C64D6"/>
    <w:rsid w:val="004C6775"/>
    <w:rsid w:val="004C692E"/>
    <w:rsid w:val="004C6A33"/>
    <w:rsid w:val="004C6AAE"/>
    <w:rsid w:val="004C6CCA"/>
    <w:rsid w:val="004C6F82"/>
    <w:rsid w:val="004C708E"/>
    <w:rsid w:val="004C729B"/>
    <w:rsid w:val="004C74D5"/>
    <w:rsid w:val="004C7694"/>
    <w:rsid w:val="004C76E5"/>
    <w:rsid w:val="004C7733"/>
    <w:rsid w:val="004C78B4"/>
    <w:rsid w:val="004C79A0"/>
    <w:rsid w:val="004C79E6"/>
    <w:rsid w:val="004C7AF6"/>
    <w:rsid w:val="004C7B26"/>
    <w:rsid w:val="004C7BE8"/>
    <w:rsid w:val="004C7D7A"/>
    <w:rsid w:val="004C7DF1"/>
    <w:rsid w:val="004D0134"/>
    <w:rsid w:val="004D0258"/>
    <w:rsid w:val="004D03C8"/>
    <w:rsid w:val="004D0535"/>
    <w:rsid w:val="004D058C"/>
    <w:rsid w:val="004D06F8"/>
    <w:rsid w:val="004D072F"/>
    <w:rsid w:val="004D090C"/>
    <w:rsid w:val="004D0BD6"/>
    <w:rsid w:val="004D0F0F"/>
    <w:rsid w:val="004D1064"/>
    <w:rsid w:val="004D1170"/>
    <w:rsid w:val="004D1305"/>
    <w:rsid w:val="004D134C"/>
    <w:rsid w:val="004D13E4"/>
    <w:rsid w:val="004D1438"/>
    <w:rsid w:val="004D14A6"/>
    <w:rsid w:val="004D1644"/>
    <w:rsid w:val="004D1F35"/>
    <w:rsid w:val="004D1FBA"/>
    <w:rsid w:val="004D21BB"/>
    <w:rsid w:val="004D2526"/>
    <w:rsid w:val="004D2599"/>
    <w:rsid w:val="004D25CD"/>
    <w:rsid w:val="004D2917"/>
    <w:rsid w:val="004D2954"/>
    <w:rsid w:val="004D2986"/>
    <w:rsid w:val="004D2D6F"/>
    <w:rsid w:val="004D2E7A"/>
    <w:rsid w:val="004D30E2"/>
    <w:rsid w:val="004D3176"/>
    <w:rsid w:val="004D3434"/>
    <w:rsid w:val="004D34B1"/>
    <w:rsid w:val="004D3506"/>
    <w:rsid w:val="004D3652"/>
    <w:rsid w:val="004D372F"/>
    <w:rsid w:val="004D37BD"/>
    <w:rsid w:val="004D3828"/>
    <w:rsid w:val="004D3A8D"/>
    <w:rsid w:val="004D4058"/>
    <w:rsid w:val="004D4125"/>
    <w:rsid w:val="004D4418"/>
    <w:rsid w:val="004D44A3"/>
    <w:rsid w:val="004D4702"/>
    <w:rsid w:val="004D4A1B"/>
    <w:rsid w:val="004D4B43"/>
    <w:rsid w:val="004D521C"/>
    <w:rsid w:val="004D5265"/>
    <w:rsid w:val="004D5473"/>
    <w:rsid w:val="004D54EF"/>
    <w:rsid w:val="004D577D"/>
    <w:rsid w:val="004D57A1"/>
    <w:rsid w:val="004D5805"/>
    <w:rsid w:val="004D59B3"/>
    <w:rsid w:val="004D5ABC"/>
    <w:rsid w:val="004D5F7F"/>
    <w:rsid w:val="004D6017"/>
    <w:rsid w:val="004D647B"/>
    <w:rsid w:val="004D6491"/>
    <w:rsid w:val="004D65B7"/>
    <w:rsid w:val="004D6637"/>
    <w:rsid w:val="004D66F4"/>
    <w:rsid w:val="004D6951"/>
    <w:rsid w:val="004D6B34"/>
    <w:rsid w:val="004D6B7B"/>
    <w:rsid w:val="004D6BA4"/>
    <w:rsid w:val="004D6ECB"/>
    <w:rsid w:val="004D6EEC"/>
    <w:rsid w:val="004D7046"/>
    <w:rsid w:val="004D70CC"/>
    <w:rsid w:val="004D712B"/>
    <w:rsid w:val="004D71FF"/>
    <w:rsid w:val="004D72AA"/>
    <w:rsid w:val="004D7596"/>
    <w:rsid w:val="004D765B"/>
    <w:rsid w:val="004D7814"/>
    <w:rsid w:val="004D78B8"/>
    <w:rsid w:val="004D7A60"/>
    <w:rsid w:val="004D7B41"/>
    <w:rsid w:val="004D7C9E"/>
    <w:rsid w:val="004D7DD4"/>
    <w:rsid w:val="004D7E92"/>
    <w:rsid w:val="004D7EF4"/>
    <w:rsid w:val="004E01D5"/>
    <w:rsid w:val="004E0225"/>
    <w:rsid w:val="004E028E"/>
    <w:rsid w:val="004E0311"/>
    <w:rsid w:val="004E03AD"/>
    <w:rsid w:val="004E03E1"/>
    <w:rsid w:val="004E08BC"/>
    <w:rsid w:val="004E0AFA"/>
    <w:rsid w:val="004E0DF7"/>
    <w:rsid w:val="004E0F65"/>
    <w:rsid w:val="004E115E"/>
    <w:rsid w:val="004E129E"/>
    <w:rsid w:val="004E16AE"/>
    <w:rsid w:val="004E1950"/>
    <w:rsid w:val="004E198A"/>
    <w:rsid w:val="004E1B2D"/>
    <w:rsid w:val="004E1F03"/>
    <w:rsid w:val="004E1F4C"/>
    <w:rsid w:val="004E202B"/>
    <w:rsid w:val="004E237F"/>
    <w:rsid w:val="004E24E2"/>
    <w:rsid w:val="004E25F4"/>
    <w:rsid w:val="004E2610"/>
    <w:rsid w:val="004E283E"/>
    <w:rsid w:val="004E2A4E"/>
    <w:rsid w:val="004E2BF5"/>
    <w:rsid w:val="004E2CE3"/>
    <w:rsid w:val="004E2D86"/>
    <w:rsid w:val="004E2D8D"/>
    <w:rsid w:val="004E2F28"/>
    <w:rsid w:val="004E2FE6"/>
    <w:rsid w:val="004E2FEE"/>
    <w:rsid w:val="004E3016"/>
    <w:rsid w:val="004E30EB"/>
    <w:rsid w:val="004E3357"/>
    <w:rsid w:val="004E354C"/>
    <w:rsid w:val="004E36A4"/>
    <w:rsid w:val="004E38E8"/>
    <w:rsid w:val="004E3B20"/>
    <w:rsid w:val="004E3B22"/>
    <w:rsid w:val="004E3C96"/>
    <w:rsid w:val="004E3E7B"/>
    <w:rsid w:val="004E3F37"/>
    <w:rsid w:val="004E41EC"/>
    <w:rsid w:val="004E4297"/>
    <w:rsid w:val="004E432C"/>
    <w:rsid w:val="004E434D"/>
    <w:rsid w:val="004E43B1"/>
    <w:rsid w:val="004E478C"/>
    <w:rsid w:val="004E47A1"/>
    <w:rsid w:val="004E4B7E"/>
    <w:rsid w:val="004E4B85"/>
    <w:rsid w:val="004E4CB2"/>
    <w:rsid w:val="004E4E62"/>
    <w:rsid w:val="004E4F1C"/>
    <w:rsid w:val="004E5046"/>
    <w:rsid w:val="004E51EC"/>
    <w:rsid w:val="004E528A"/>
    <w:rsid w:val="004E5361"/>
    <w:rsid w:val="004E59D9"/>
    <w:rsid w:val="004E5AD5"/>
    <w:rsid w:val="004E5B12"/>
    <w:rsid w:val="004E5B70"/>
    <w:rsid w:val="004E5D09"/>
    <w:rsid w:val="004E5F0F"/>
    <w:rsid w:val="004E6021"/>
    <w:rsid w:val="004E6105"/>
    <w:rsid w:val="004E6419"/>
    <w:rsid w:val="004E64E0"/>
    <w:rsid w:val="004E6588"/>
    <w:rsid w:val="004E6682"/>
    <w:rsid w:val="004E66BB"/>
    <w:rsid w:val="004E67C2"/>
    <w:rsid w:val="004E6A32"/>
    <w:rsid w:val="004E6AA8"/>
    <w:rsid w:val="004E6DFC"/>
    <w:rsid w:val="004E6EFE"/>
    <w:rsid w:val="004E6F0F"/>
    <w:rsid w:val="004E6F41"/>
    <w:rsid w:val="004E6F86"/>
    <w:rsid w:val="004E7029"/>
    <w:rsid w:val="004E71C0"/>
    <w:rsid w:val="004E7701"/>
    <w:rsid w:val="004E77E1"/>
    <w:rsid w:val="004E78B9"/>
    <w:rsid w:val="004E79B5"/>
    <w:rsid w:val="004E7B69"/>
    <w:rsid w:val="004E7C01"/>
    <w:rsid w:val="004E7C03"/>
    <w:rsid w:val="004E7EF6"/>
    <w:rsid w:val="004F007A"/>
    <w:rsid w:val="004F0153"/>
    <w:rsid w:val="004F01F3"/>
    <w:rsid w:val="004F051E"/>
    <w:rsid w:val="004F06AE"/>
    <w:rsid w:val="004F0AD4"/>
    <w:rsid w:val="004F0B48"/>
    <w:rsid w:val="004F0BAE"/>
    <w:rsid w:val="004F0CCB"/>
    <w:rsid w:val="004F0CED"/>
    <w:rsid w:val="004F1133"/>
    <w:rsid w:val="004F1166"/>
    <w:rsid w:val="004F147E"/>
    <w:rsid w:val="004F1520"/>
    <w:rsid w:val="004F164F"/>
    <w:rsid w:val="004F1AA4"/>
    <w:rsid w:val="004F1B16"/>
    <w:rsid w:val="004F1D46"/>
    <w:rsid w:val="004F2204"/>
    <w:rsid w:val="004F2684"/>
    <w:rsid w:val="004F2920"/>
    <w:rsid w:val="004F296E"/>
    <w:rsid w:val="004F29DD"/>
    <w:rsid w:val="004F2B33"/>
    <w:rsid w:val="004F2B8C"/>
    <w:rsid w:val="004F2F24"/>
    <w:rsid w:val="004F2FBF"/>
    <w:rsid w:val="004F327D"/>
    <w:rsid w:val="004F32F5"/>
    <w:rsid w:val="004F33A8"/>
    <w:rsid w:val="004F3685"/>
    <w:rsid w:val="004F37AE"/>
    <w:rsid w:val="004F3870"/>
    <w:rsid w:val="004F3C11"/>
    <w:rsid w:val="004F3D05"/>
    <w:rsid w:val="004F422B"/>
    <w:rsid w:val="004F4849"/>
    <w:rsid w:val="004F4A1D"/>
    <w:rsid w:val="004F4B41"/>
    <w:rsid w:val="004F4F40"/>
    <w:rsid w:val="004F505B"/>
    <w:rsid w:val="004F5069"/>
    <w:rsid w:val="004F50E1"/>
    <w:rsid w:val="004F528D"/>
    <w:rsid w:val="004F5861"/>
    <w:rsid w:val="004F5869"/>
    <w:rsid w:val="004F5B93"/>
    <w:rsid w:val="004F5D93"/>
    <w:rsid w:val="004F5DF4"/>
    <w:rsid w:val="004F5F6E"/>
    <w:rsid w:val="004F60F2"/>
    <w:rsid w:val="004F6132"/>
    <w:rsid w:val="004F63F6"/>
    <w:rsid w:val="004F6734"/>
    <w:rsid w:val="004F6843"/>
    <w:rsid w:val="004F6A3F"/>
    <w:rsid w:val="004F6B41"/>
    <w:rsid w:val="004F6B6C"/>
    <w:rsid w:val="004F6C67"/>
    <w:rsid w:val="004F6F58"/>
    <w:rsid w:val="004F70A5"/>
    <w:rsid w:val="004F76CE"/>
    <w:rsid w:val="004F7D9F"/>
    <w:rsid w:val="004F7E3E"/>
    <w:rsid w:val="004F7F56"/>
    <w:rsid w:val="0050000A"/>
    <w:rsid w:val="00500439"/>
    <w:rsid w:val="005004B3"/>
    <w:rsid w:val="00500878"/>
    <w:rsid w:val="00500903"/>
    <w:rsid w:val="00500A37"/>
    <w:rsid w:val="00500A64"/>
    <w:rsid w:val="00500E0C"/>
    <w:rsid w:val="00500F93"/>
    <w:rsid w:val="00501302"/>
    <w:rsid w:val="0050143B"/>
    <w:rsid w:val="00501569"/>
    <w:rsid w:val="005018A2"/>
    <w:rsid w:val="00501B13"/>
    <w:rsid w:val="00501C3B"/>
    <w:rsid w:val="00501DD5"/>
    <w:rsid w:val="00501E16"/>
    <w:rsid w:val="00501EAD"/>
    <w:rsid w:val="005020D3"/>
    <w:rsid w:val="005021BF"/>
    <w:rsid w:val="0050225F"/>
    <w:rsid w:val="00502303"/>
    <w:rsid w:val="0050237C"/>
    <w:rsid w:val="005024C7"/>
    <w:rsid w:val="0050265D"/>
    <w:rsid w:val="005028A2"/>
    <w:rsid w:val="00502AAF"/>
    <w:rsid w:val="00502C64"/>
    <w:rsid w:val="00502CB7"/>
    <w:rsid w:val="00503192"/>
    <w:rsid w:val="005031DA"/>
    <w:rsid w:val="005033E5"/>
    <w:rsid w:val="005033F7"/>
    <w:rsid w:val="005034CC"/>
    <w:rsid w:val="00503555"/>
    <w:rsid w:val="0050361B"/>
    <w:rsid w:val="005036F1"/>
    <w:rsid w:val="00503A30"/>
    <w:rsid w:val="00503E26"/>
    <w:rsid w:val="00503E49"/>
    <w:rsid w:val="00503FAE"/>
    <w:rsid w:val="005042B4"/>
    <w:rsid w:val="0050449B"/>
    <w:rsid w:val="005044B9"/>
    <w:rsid w:val="00504565"/>
    <w:rsid w:val="00504639"/>
    <w:rsid w:val="00504646"/>
    <w:rsid w:val="005046CD"/>
    <w:rsid w:val="005047FC"/>
    <w:rsid w:val="00504C5C"/>
    <w:rsid w:val="00504CE2"/>
    <w:rsid w:val="00504E03"/>
    <w:rsid w:val="00504FC6"/>
    <w:rsid w:val="005051C8"/>
    <w:rsid w:val="00505301"/>
    <w:rsid w:val="00505409"/>
    <w:rsid w:val="00505461"/>
    <w:rsid w:val="005054BF"/>
    <w:rsid w:val="0050568A"/>
    <w:rsid w:val="00505757"/>
    <w:rsid w:val="00505870"/>
    <w:rsid w:val="0050595C"/>
    <w:rsid w:val="005059B7"/>
    <w:rsid w:val="00505AE7"/>
    <w:rsid w:val="00505B8D"/>
    <w:rsid w:val="005066C1"/>
    <w:rsid w:val="00506976"/>
    <w:rsid w:val="0050699C"/>
    <w:rsid w:val="005069D6"/>
    <w:rsid w:val="00506A66"/>
    <w:rsid w:val="00506BD0"/>
    <w:rsid w:val="00506C99"/>
    <w:rsid w:val="00506D14"/>
    <w:rsid w:val="00506DEC"/>
    <w:rsid w:val="00506E69"/>
    <w:rsid w:val="00506F1C"/>
    <w:rsid w:val="00506F93"/>
    <w:rsid w:val="00507060"/>
    <w:rsid w:val="00507270"/>
    <w:rsid w:val="005072EE"/>
    <w:rsid w:val="0050770F"/>
    <w:rsid w:val="005077E1"/>
    <w:rsid w:val="0050795A"/>
    <w:rsid w:val="00507CE9"/>
    <w:rsid w:val="00507DB3"/>
    <w:rsid w:val="005101DF"/>
    <w:rsid w:val="00510463"/>
    <w:rsid w:val="005104EA"/>
    <w:rsid w:val="00510515"/>
    <w:rsid w:val="00510743"/>
    <w:rsid w:val="0051076E"/>
    <w:rsid w:val="00510852"/>
    <w:rsid w:val="0051097F"/>
    <w:rsid w:val="00510A4F"/>
    <w:rsid w:val="00510BAB"/>
    <w:rsid w:val="00510C2C"/>
    <w:rsid w:val="005110D6"/>
    <w:rsid w:val="005110E0"/>
    <w:rsid w:val="005111DD"/>
    <w:rsid w:val="0051151B"/>
    <w:rsid w:val="00511816"/>
    <w:rsid w:val="00511BC7"/>
    <w:rsid w:val="00511BEF"/>
    <w:rsid w:val="00511C8E"/>
    <w:rsid w:val="00511CB0"/>
    <w:rsid w:val="00511F6F"/>
    <w:rsid w:val="00511FA4"/>
    <w:rsid w:val="005120BC"/>
    <w:rsid w:val="0051220A"/>
    <w:rsid w:val="00512216"/>
    <w:rsid w:val="005122B8"/>
    <w:rsid w:val="0051243C"/>
    <w:rsid w:val="0051250A"/>
    <w:rsid w:val="00512626"/>
    <w:rsid w:val="005126D3"/>
    <w:rsid w:val="005126F9"/>
    <w:rsid w:val="0051273F"/>
    <w:rsid w:val="00512861"/>
    <w:rsid w:val="00512923"/>
    <w:rsid w:val="0051296C"/>
    <w:rsid w:val="00512B36"/>
    <w:rsid w:val="00512B6E"/>
    <w:rsid w:val="00512BE1"/>
    <w:rsid w:val="00512C95"/>
    <w:rsid w:val="00512CBB"/>
    <w:rsid w:val="00512DE4"/>
    <w:rsid w:val="00512E21"/>
    <w:rsid w:val="00512F47"/>
    <w:rsid w:val="005133AF"/>
    <w:rsid w:val="005134D8"/>
    <w:rsid w:val="00513580"/>
    <w:rsid w:val="005135AB"/>
    <w:rsid w:val="0051362E"/>
    <w:rsid w:val="005136F9"/>
    <w:rsid w:val="00513736"/>
    <w:rsid w:val="00513A91"/>
    <w:rsid w:val="00513B87"/>
    <w:rsid w:val="00513CF2"/>
    <w:rsid w:val="00514090"/>
    <w:rsid w:val="0051420C"/>
    <w:rsid w:val="005142C1"/>
    <w:rsid w:val="005142D9"/>
    <w:rsid w:val="00514357"/>
    <w:rsid w:val="005145B9"/>
    <w:rsid w:val="005145CB"/>
    <w:rsid w:val="005147F1"/>
    <w:rsid w:val="00514938"/>
    <w:rsid w:val="005149C6"/>
    <w:rsid w:val="00514DBD"/>
    <w:rsid w:val="00514EB1"/>
    <w:rsid w:val="0051540D"/>
    <w:rsid w:val="0051542D"/>
    <w:rsid w:val="005155FB"/>
    <w:rsid w:val="00515B72"/>
    <w:rsid w:val="00515D89"/>
    <w:rsid w:val="00515E84"/>
    <w:rsid w:val="00515FDD"/>
    <w:rsid w:val="005162FC"/>
    <w:rsid w:val="005163A4"/>
    <w:rsid w:val="0051648D"/>
    <w:rsid w:val="00516758"/>
    <w:rsid w:val="00516B34"/>
    <w:rsid w:val="00516B9B"/>
    <w:rsid w:val="00517172"/>
    <w:rsid w:val="00517250"/>
    <w:rsid w:val="0051726F"/>
    <w:rsid w:val="00517373"/>
    <w:rsid w:val="00517686"/>
    <w:rsid w:val="005178D9"/>
    <w:rsid w:val="005178F2"/>
    <w:rsid w:val="00517B32"/>
    <w:rsid w:val="00517D89"/>
    <w:rsid w:val="00520083"/>
    <w:rsid w:val="0052008E"/>
    <w:rsid w:val="00520145"/>
    <w:rsid w:val="005207B1"/>
    <w:rsid w:val="00520AD4"/>
    <w:rsid w:val="00520B14"/>
    <w:rsid w:val="00520CD2"/>
    <w:rsid w:val="00520D22"/>
    <w:rsid w:val="00520E6B"/>
    <w:rsid w:val="00521021"/>
    <w:rsid w:val="00521455"/>
    <w:rsid w:val="0052150E"/>
    <w:rsid w:val="0052177D"/>
    <w:rsid w:val="00521785"/>
    <w:rsid w:val="00521B94"/>
    <w:rsid w:val="00521BC1"/>
    <w:rsid w:val="00521D6F"/>
    <w:rsid w:val="00521E24"/>
    <w:rsid w:val="00521EFD"/>
    <w:rsid w:val="005220F6"/>
    <w:rsid w:val="00522312"/>
    <w:rsid w:val="005223B7"/>
    <w:rsid w:val="00522717"/>
    <w:rsid w:val="00522992"/>
    <w:rsid w:val="005229F0"/>
    <w:rsid w:val="00522AD0"/>
    <w:rsid w:val="00522B46"/>
    <w:rsid w:val="00522C9E"/>
    <w:rsid w:val="00522D3C"/>
    <w:rsid w:val="00522D4B"/>
    <w:rsid w:val="00522D6A"/>
    <w:rsid w:val="00522EF8"/>
    <w:rsid w:val="0052300C"/>
    <w:rsid w:val="00523046"/>
    <w:rsid w:val="005230A6"/>
    <w:rsid w:val="005231C6"/>
    <w:rsid w:val="00523538"/>
    <w:rsid w:val="00523557"/>
    <w:rsid w:val="0052372D"/>
    <w:rsid w:val="005238B6"/>
    <w:rsid w:val="00523C30"/>
    <w:rsid w:val="00523EA9"/>
    <w:rsid w:val="0052445B"/>
    <w:rsid w:val="005245AB"/>
    <w:rsid w:val="00524C24"/>
    <w:rsid w:val="00524DAC"/>
    <w:rsid w:val="00524FD1"/>
    <w:rsid w:val="0052500C"/>
    <w:rsid w:val="00525496"/>
    <w:rsid w:val="005254F6"/>
    <w:rsid w:val="00525627"/>
    <w:rsid w:val="0052568B"/>
    <w:rsid w:val="00525821"/>
    <w:rsid w:val="00525D8D"/>
    <w:rsid w:val="00525D9B"/>
    <w:rsid w:val="005260AF"/>
    <w:rsid w:val="00526259"/>
    <w:rsid w:val="00526475"/>
    <w:rsid w:val="005264D6"/>
    <w:rsid w:val="005265DC"/>
    <w:rsid w:val="005266F8"/>
    <w:rsid w:val="00526783"/>
    <w:rsid w:val="00526A79"/>
    <w:rsid w:val="00526C70"/>
    <w:rsid w:val="00526CD6"/>
    <w:rsid w:val="00526D08"/>
    <w:rsid w:val="00526DBC"/>
    <w:rsid w:val="00526FDB"/>
    <w:rsid w:val="00527310"/>
    <w:rsid w:val="005279DA"/>
    <w:rsid w:val="00527B5E"/>
    <w:rsid w:val="00527C14"/>
    <w:rsid w:val="00527DF9"/>
    <w:rsid w:val="00527E47"/>
    <w:rsid w:val="00527E92"/>
    <w:rsid w:val="0053005C"/>
    <w:rsid w:val="0053010F"/>
    <w:rsid w:val="0053018B"/>
    <w:rsid w:val="005302A3"/>
    <w:rsid w:val="0053040E"/>
    <w:rsid w:val="0053062E"/>
    <w:rsid w:val="00530697"/>
    <w:rsid w:val="005307BD"/>
    <w:rsid w:val="005309D6"/>
    <w:rsid w:val="005309FB"/>
    <w:rsid w:val="00530B0A"/>
    <w:rsid w:val="00530EE4"/>
    <w:rsid w:val="00530F67"/>
    <w:rsid w:val="005310B2"/>
    <w:rsid w:val="00531265"/>
    <w:rsid w:val="00531365"/>
    <w:rsid w:val="005314EB"/>
    <w:rsid w:val="005315C7"/>
    <w:rsid w:val="005315F2"/>
    <w:rsid w:val="005316F1"/>
    <w:rsid w:val="005317FC"/>
    <w:rsid w:val="0053190E"/>
    <w:rsid w:val="00531A69"/>
    <w:rsid w:val="00531F34"/>
    <w:rsid w:val="00531F37"/>
    <w:rsid w:val="00532147"/>
    <w:rsid w:val="00532210"/>
    <w:rsid w:val="005323E3"/>
    <w:rsid w:val="005326B7"/>
    <w:rsid w:val="00532910"/>
    <w:rsid w:val="00532AB5"/>
    <w:rsid w:val="00532C25"/>
    <w:rsid w:val="00532C43"/>
    <w:rsid w:val="00532E9E"/>
    <w:rsid w:val="00532FBA"/>
    <w:rsid w:val="00533062"/>
    <w:rsid w:val="005337F8"/>
    <w:rsid w:val="005339CD"/>
    <w:rsid w:val="00533EDD"/>
    <w:rsid w:val="00534418"/>
    <w:rsid w:val="005344D9"/>
    <w:rsid w:val="00534885"/>
    <w:rsid w:val="0053498D"/>
    <w:rsid w:val="00534AB3"/>
    <w:rsid w:val="00534C58"/>
    <w:rsid w:val="00534DEE"/>
    <w:rsid w:val="0053507F"/>
    <w:rsid w:val="0053525A"/>
    <w:rsid w:val="0053529B"/>
    <w:rsid w:val="0053541B"/>
    <w:rsid w:val="00535894"/>
    <w:rsid w:val="005358A2"/>
    <w:rsid w:val="00535AC9"/>
    <w:rsid w:val="00535D2E"/>
    <w:rsid w:val="00536085"/>
    <w:rsid w:val="005361B7"/>
    <w:rsid w:val="00536347"/>
    <w:rsid w:val="00536538"/>
    <w:rsid w:val="005365A9"/>
    <w:rsid w:val="005365C6"/>
    <w:rsid w:val="005365F0"/>
    <w:rsid w:val="0053664C"/>
    <w:rsid w:val="00536732"/>
    <w:rsid w:val="00536981"/>
    <w:rsid w:val="00536ACF"/>
    <w:rsid w:val="00536E06"/>
    <w:rsid w:val="005370DA"/>
    <w:rsid w:val="00537105"/>
    <w:rsid w:val="00537176"/>
    <w:rsid w:val="005371B1"/>
    <w:rsid w:val="005373C0"/>
    <w:rsid w:val="00537545"/>
    <w:rsid w:val="005375B9"/>
    <w:rsid w:val="00537740"/>
    <w:rsid w:val="00537863"/>
    <w:rsid w:val="005379C0"/>
    <w:rsid w:val="005379C2"/>
    <w:rsid w:val="00537BCB"/>
    <w:rsid w:val="00537E14"/>
    <w:rsid w:val="0054012B"/>
    <w:rsid w:val="005401CF"/>
    <w:rsid w:val="005401FB"/>
    <w:rsid w:val="0054061E"/>
    <w:rsid w:val="0054074C"/>
    <w:rsid w:val="005407A3"/>
    <w:rsid w:val="005407E2"/>
    <w:rsid w:val="0054081A"/>
    <w:rsid w:val="005408C3"/>
    <w:rsid w:val="005408F3"/>
    <w:rsid w:val="00540902"/>
    <w:rsid w:val="0054094C"/>
    <w:rsid w:val="00540BC7"/>
    <w:rsid w:val="00540C1D"/>
    <w:rsid w:val="00540E4B"/>
    <w:rsid w:val="0054104C"/>
    <w:rsid w:val="0054124A"/>
    <w:rsid w:val="0054134A"/>
    <w:rsid w:val="00541520"/>
    <w:rsid w:val="0054168D"/>
    <w:rsid w:val="00541846"/>
    <w:rsid w:val="005419FE"/>
    <w:rsid w:val="00541A61"/>
    <w:rsid w:val="00541E78"/>
    <w:rsid w:val="00541F7A"/>
    <w:rsid w:val="00542491"/>
    <w:rsid w:val="005425B9"/>
    <w:rsid w:val="00542634"/>
    <w:rsid w:val="00542776"/>
    <w:rsid w:val="0054284C"/>
    <w:rsid w:val="00542896"/>
    <w:rsid w:val="005429CF"/>
    <w:rsid w:val="00542B85"/>
    <w:rsid w:val="00542D17"/>
    <w:rsid w:val="00542E02"/>
    <w:rsid w:val="00542F10"/>
    <w:rsid w:val="00542F5B"/>
    <w:rsid w:val="00542FED"/>
    <w:rsid w:val="00543142"/>
    <w:rsid w:val="005432FE"/>
    <w:rsid w:val="0054334B"/>
    <w:rsid w:val="0054368F"/>
    <w:rsid w:val="005436C3"/>
    <w:rsid w:val="00543909"/>
    <w:rsid w:val="00543A7B"/>
    <w:rsid w:val="00543A8D"/>
    <w:rsid w:val="00543B2B"/>
    <w:rsid w:val="00543C2C"/>
    <w:rsid w:val="00543DAF"/>
    <w:rsid w:val="00544007"/>
    <w:rsid w:val="00544181"/>
    <w:rsid w:val="00544465"/>
    <w:rsid w:val="00544628"/>
    <w:rsid w:val="005447C8"/>
    <w:rsid w:val="005449E6"/>
    <w:rsid w:val="00544A94"/>
    <w:rsid w:val="00544B28"/>
    <w:rsid w:val="00544BA3"/>
    <w:rsid w:val="00544F45"/>
    <w:rsid w:val="005454F8"/>
    <w:rsid w:val="005456C6"/>
    <w:rsid w:val="005456C8"/>
    <w:rsid w:val="005457C6"/>
    <w:rsid w:val="00545AE3"/>
    <w:rsid w:val="00545B6E"/>
    <w:rsid w:val="00545BA8"/>
    <w:rsid w:val="00545DF0"/>
    <w:rsid w:val="00545EC1"/>
    <w:rsid w:val="00545F18"/>
    <w:rsid w:val="005460E4"/>
    <w:rsid w:val="00546303"/>
    <w:rsid w:val="00546712"/>
    <w:rsid w:val="005467B9"/>
    <w:rsid w:val="005467FF"/>
    <w:rsid w:val="00546824"/>
    <w:rsid w:val="00546A7A"/>
    <w:rsid w:val="00546D1C"/>
    <w:rsid w:val="005470B1"/>
    <w:rsid w:val="0054712D"/>
    <w:rsid w:val="00547140"/>
    <w:rsid w:val="005471FE"/>
    <w:rsid w:val="00547303"/>
    <w:rsid w:val="0054736A"/>
    <w:rsid w:val="0054759A"/>
    <w:rsid w:val="005475B4"/>
    <w:rsid w:val="005478F6"/>
    <w:rsid w:val="005479D9"/>
    <w:rsid w:val="00547DB1"/>
    <w:rsid w:val="005503C2"/>
    <w:rsid w:val="005504FB"/>
    <w:rsid w:val="005505DF"/>
    <w:rsid w:val="005507F8"/>
    <w:rsid w:val="00550936"/>
    <w:rsid w:val="00550F7E"/>
    <w:rsid w:val="00550F94"/>
    <w:rsid w:val="0055105B"/>
    <w:rsid w:val="00551141"/>
    <w:rsid w:val="0055120C"/>
    <w:rsid w:val="005512E7"/>
    <w:rsid w:val="005512F1"/>
    <w:rsid w:val="00551355"/>
    <w:rsid w:val="00551461"/>
    <w:rsid w:val="0055166E"/>
    <w:rsid w:val="00551985"/>
    <w:rsid w:val="00551A07"/>
    <w:rsid w:val="00551D12"/>
    <w:rsid w:val="00551EC0"/>
    <w:rsid w:val="00552061"/>
    <w:rsid w:val="00552088"/>
    <w:rsid w:val="00552353"/>
    <w:rsid w:val="00552594"/>
    <w:rsid w:val="005528B7"/>
    <w:rsid w:val="00552910"/>
    <w:rsid w:val="00552C05"/>
    <w:rsid w:val="00552C52"/>
    <w:rsid w:val="00552E5D"/>
    <w:rsid w:val="00553320"/>
    <w:rsid w:val="0055334F"/>
    <w:rsid w:val="00553762"/>
    <w:rsid w:val="005537E4"/>
    <w:rsid w:val="0055393A"/>
    <w:rsid w:val="00553995"/>
    <w:rsid w:val="00553A2E"/>
    <w:rsid w:val="00553CBF"/>
    <w:rsid w:val="00553EC0"/>
    <w:rsid w:val="00553FB7"/>
    <w:rsid w:val="00554175"/>
    <w:rsid w:val="005541B7"/>
    <w:rsid w:val="00554481"/>
    <w:rsid w:val="0055459A"/>
    <w:rsid w:val="005545CA"/>
    <w:rsid w:val="005545CB"/>
    <w:rsid w:val="005545E7"/>
    <w:rsid w:val="005548BB"/>
    <w:rsid w:val="00554917"/>
    <w:rsid w:val="00554B90"/>
    <w:rsid w:val="00554C35"/>
    <w:rsid w:val="00554DD3"/>
    <w:rsid w:val="0055515A"/>
    <w:rsid w:val="00555408"/>
    <w:rsid w:val="00555597"/>
    <w:rsid w:val="005556BD"/>
    <w:rsid w:val="00555C04"/>
    <w:rsid w:val="00555C82"/>
    <w:rsid w:val="00555D82"/>
    <w:rsid w:val="0055609B"/>
    <w:rsid w:val="005561BB"/>
    <w:rsid w:val="00556291"/>
    <w:rsid w:val="00556306"/>
    <w:rsid w:val="005564C9"/>
    <w:rsid w:val="00556771"/>
    <w:rsid w:val="0055698A"/>
    <w:rsid w:val="00556B04"/>
    <w:rsid w:val="00556B31"/>
    <w:rsid w:val="00556BAA"/>
    <w:rsid w:val="00556BAD"/>
    <w:rsid w:val="00556D6D"/>
    <w:rsid w:val="00556E45"/>
    <w:rsid w:val="0055702A"/>
    <w:rsid w:val="0055740D"/>
    <w:rsid w:val="005577EF"/>
    <w:rsid w:val="005578EF"/>
    <w:rsid w:val="0055793A"/>
    <w:rsid w:val="00557DC4"/>
    <w:rsid w:val="00557FE2"/>
    <w:rsid w:val="00560201"/>
    <w:rsid w:val="005602BE"/>
    <w:rsid w:val="00560424"/>
    <w:rsid w:val="0056071C"/>
    <w:rsid w:val="005607B5"/>
    <w:rsid w:val="00560891"/>
    <w:rsid w:val="005608CB"/>
    <w:rsid w:val="005608F5"/>
    <w:rsid w:val="00560928"/>
    <w:rsid w:val="00560A40"/>
    <w:rsid w:val="00560DC2"/>
    <w:rsid w:val="00561041"/>
    <w:rsid w:val="005612F8"/>
    <w:rsid w:val="005615A1"/>
    <w:rsid w:val="005618E3"/>
    <w:rsid w:val="00561AFA"/>
    <w:rsid w:val="00561BED"/>
    <w:rsid w:val="00561C2E"/>
    <w:rsid w:val="00561CBE"/>
    <w:rsid w:val="00561CEC"/>
    <w:rsid w:val="00561D02"/>
    <w:rsid w:val="00561EB0"/>
    <w:rsid w:val="005621D8"/>
    <w:rsid w:val="00562389"/>
    <w:rsid w:val="00562407"/>
    <w:rsid w:val="005626A2"/>
    <w:rsid w:val="00562738"/>
    <w:rsid w:val="00562746"/>
    <w:rsid w:val="00562C77"/>
    <w:rsid w:val="00562CD5"/>
    <w:rsid w:val="00562DE9"/>
    <w:rsid w:val="00562EFB"/>
    <w:rsid w:val="00562F38"/>
    <w:rsid w:val="005630F2"/>
    <w:rsid w:val="00563350"/>
    <w:rsid w:val="00563356"/>
    <w:rsid w:val="0056366C"/>
    <w:rsid w:val="005637B5"/>
    <w:rsid w:val="00563821"/>
    <w:rsid w:val="005638E1"/>
    <w:rsid w:val="0056394D"/>
    <w:rsid w:val="00563AAD"/>
    <w:rsid w:val="00563B79"/>
    <w:rsid w:val="00563BA3"/>
    <w:rsid w:val="00563D10"/>
    <w:rsid w:val="005640D4"/>
    <w:rsid w:val="0056428B"/>
    <w:rsid w:val="00564326"/>
    <w:rsid w:val="005646B1"/>
    <w:rsid w:val="005647FD"/>
    <w:rsid w:val="00564819"/>
    <w:rsid w:val="005648C2"/>
    <w:rsid w:val="00564A18"/>
    <w:rsid w:val="00564A7F"/>
    <w:rsid w:val="00564C8D"/>
    <w:rsid w:val="00564E86"/>
    <w:rsid w:val="00564ECE"/>
    <w:rsid w:val="00564FC8"/>
    <w:rsid w:val="00564FE9"/>
    <w:rsid w:val="00565089"/>
    <w:rsid w:val="005650FA"/>
    <w:rsid w:val="00565188"/>
    <w:rsid w:val="005651DB"/>
    <w:rsid w:val="0056526F"/>
    <w:rsid w:val="00565369"/>
    <w:rsid w:val="005656C4"/>
    <w:rsid w:val="005657E1"/>
    <w:rsid w:val="005657ED"/>
    <w:rsid w:val="005658BE"/>
    <w:rsid w:val="005659D3"/>
    <w:rsid w:val="00565C68"/>
    <w:rsid w:val="00565CA0"/>
    <w:rsid w:val="00565F51"/>
    <w:rsid w:val="00565F79"/>
    <w:rsid w:val="0056605E"/>
    <w:rsid w:val="00566205"/>
    <w:rsid w:val="0056627A"/>
    <w:rsid w:val="0056648F"/>
    <w:rsid w:val="00566525"/>
    <w:rsid w:val="0056682D"/>
    <w:rsid w:val="00566854"/>
    <w:rsid w:val="005668FA"/>
    <w:rsid w:val="00566A5E"/>
    <w:rsid w:val="00566AA7"/>
    <w:rsid w:val="00566CA0"/>
    <w:rsid w:val="00566CAD"/>
    <w:rsid w:val="00566CF7"/>
    <w:rsid w:val="005671BB"/>
    <w:rsid w:val="00567338"/>
    <w:rsid w:val="005675FE"/>
    <w:rsid w:val="005676A9"/>
    <w:rsid w:val="00567A25"/>
    <w:rsid w:val="00567B19"/>
    <w:rsid w:val="00567B66"/>
    <w:rsid w:val="00567BA5"/>
    <w:rsid w:val="00567DF8"/>
    <w:rsid w:val="00567FC2"/>
    <w:rsid w:val="00567FC4"/>
    <w:rsid w:val="00570089"/>
    <w:rsid w:val="00570190"/>
    <w:rsid w:val="0057021A"/>
    <w:rsid w:val="0057030B"/>
    <w:rsid w:val="005706FD"/>
    <w:rsid w:val="0057086E"/>
    <w:rsid w:val="005709E8"/>
    <w:rsid w:val="00570AA7"/>
    <w:rsid w:val="00570B06"/>
    <w:rsid w:val="00570B24"/>
    <w:rsid w:val="0057164F"/>
    <w:rsid w:val="00571917"/>
    <w:rsid w:val="00571A4F"/>
    <w:rsid w:val="00571B67"/>
    <w:rsid w:val="00571E09"/>
    <w:rsid w:val="00571E36"/>
    <w:rsid w:val="00571EB2"/>
    <w:rsid w:val="00571F04"/>
    <w:rsid w:val="00571F52"/>
    <w:rsid w:val="00571FDF"/>
    <w:rsid w:val="00572090"/>
    <w:rsid w:val="005721A3"/>
    <w:rsid w:val="00572285"/>
    <w:rsid w:val="005722E3"/>
    <w:rsid w:val="005722F8"/>
    <w:rsid w:val="0057248A"/>
    <w:rsid w:val="00572525"/>
    <w:rsid w:val="005726BD"/>
    <w:rsid w:val="005726E1"/>
    <w:rsid w:val="00572725"/>
    <w:rsid w:val="00572E30"/>
    <w:rsid w:val="00572E37"/>
    <w:rsid w:val="0057322C"/>
    <w:rsid w:val="005732D9"/>
    <w:rsid w:val="00573387"/>
    <w:rsid w:val="0057340E"/>
    <w:rsid w:val="005737C1"/>
    <w:rsid w:val="00573876"/>
    <w:rsid w:val="0057399F"/>
    <w:rsid w:val="00573AF1"/>
    <w:rsid w:val="00573C95"/>
    <w:rsid w:val="0057409D"/>
    <w:rsid w:val="00574317"/>
    <w:rsid w:val="0057431B"/>
    <w:rsid w:val="00574385"/>
    <w:rsid w:val="005743E0"/>
    <w:rsid w:val="005749B9"/>
    <w:rsid w:val="005749E0"/>
    <w:rsid w:val="00574B54"/>
    <w:rsid w:val="00574B8B"/>
    <w:rsid w:val="00574D28"/>
    <w:rsid w:val="00574E53"/>
    <w:rsid w:val="0057506A"/>
    <w:rsid w:val="005750AE"/>
    <w:rsid w:val="0057521F"/>
    <w:rsid w:val="005756F1"/>
    <w:rsid w:val="00575805"/>
    <w:rsid w:val="00575842"/>
    <w:rsid w:val="00575A05"/>
    <w:rsid w:val="00575A61"/>
    <w:rsid w:val="00575A7E"/>
    <w:rsid w:val="00575AA7"/>
    <w:rsid w:val="00575B0A"/>
    <w:rsid w:val="00575D39"/>
    <w:rsid w:val="00575DED"/>
    <w:rsid w:val="00575F18"/>
    <w:rsid w:val="005760D7"/>
    <w:rsid w:val="0057611A"/>
    <w:rsid w:val="0057618B"/>
    <w:rsid w:val="0057632F"/>
    <w:rsid w:val="005763DD"/>
    <w:rsid w:val="0057642A"/>
    <w:rsid w:val="00576630"/>
    <w:rsid w:val="0057676A"/>
    <w:rsid w:val="005767F6"/>
    <w:rsid w:val="0057686F"/>
    <w:rsid w:val="005768D7"/>
    <w:rsid w:val="00576FC0"/>
    <w:rsid w:val="0057701E"/>
    <w:rsid w:val="0057741E"/>
    <w:rsid w:val="00577589"/>
    <w:rsid w:val="00577926"/>
    <w:rsid w:val="00577A49"/>
    <w:rsid w:val="00577B89"/>
    <w:rsid w:val="00577D35"/>
    <w:rsid w:val="00577F07"/>
    <w:rsid w:val="005800A1"/>
    <w:rsid w:val="00580194"/>
    <w:rsid w:val="005802AA"/>
    <w:rsid w:val="0058042C"/>
    <w:rsid w:val="0058056D"/>
    <w:rsid w:val="005808FD"/>
    <w:rsid w:val="00580C3E"/>
    <w:rsid w:val="00580C7F"/>
    <w:rsid w:val="00580CD9"/>
    <w:rsid w:val="00580E77"/>
    <w:rsid w:val="00580EC5"/>
    <w:rsid w:val="00581042"/>
    <w:rsid w:val="005810BF"/>
    <w:rsid w:val="0058111A"/>
    <w:rsid w:val="00581188"/>
    <w:rsid w:val="00581308"/>
    <w:rsid w:val="0058132D"/>
    <w:rsid w:val="0058148E"/>
    <w:rsid w:val="005817AF"/>
    <w:rsid w:val="005819AA"/>
    <w:rsid w:val="00581B8C"/>
    <w:rsid w:val="00581CE5"/>
    <w:rsid w:val="00582006"/>
    <w:rsid w:val="00582039"/>
    <w:rsid w:val="00582115"/>
    <w:rsid w:val="00582188"/>
    <w:rsid w:val="005826BE"/>
    <w:rsid w:val="005826EC"/>
    <w:rsid w:val="00582759"/>
    <w:rsid w:val="005827A5"/>
    <w:rsid w:val="00582B9E"/>
    <w:rsid w:val="00582BFB"/>
    <w:rsid w:val="00582C02"/>
    <w:rsid w:val="00582C03"/>
    <w:rsid w:val="00582EB1"/>
    <w:rsid w:val="00583317"/>
    <w:rsid w:val="005834B6"/>
    <w:rsid w:val="00583904"/>
    <w:rsid w:val="0058391D"/>
    <w:rsid w:val="0058397B"/>
    <w:rsid w:val="00583BFB"/>
    <w:rsid w:val="00583CF4"/>
    <w:rsid w:val="00583EDA"/>
    <w:rsid w:val="00584256"/>
    <w:rsid w:val="005842F0"/>
    <w:rsid w:val="005842F8"/>
    <w:rsid w:val="005843B6"/>
    <w:rsid w:val="005843EE"/>
    <w:rsid w:val="00584458"/>
    <w:rsid w:val="00584E5E"/>
    <w:rsid w:val="00585055"/>
    <w:rsid w:val="005850A5"/>
    <w:rsid w:val="005850A7"/>
    <w:rsid w:val="00585253"/>
    <w:rsid w:val="0058531C"/>
    <w:rsid w:val="00585571"/>
    <w:rsid w:val="005855E1"/>
    <w:rsid w:val="005856CD"/>
    <w:rsid w:val="005857EE"/>
    <w:rsid w:val="00585E9B"/>
    <w:rsid w:val="005861CA"/>
    <w:rsid w:val="0058641D"/>
    <w:rsid w:val="005866AC"/>
    <w:rsid w:val="00586AE2"/>
    <w:rsid w:val="00586B60"/>
    <w:rsid w:val="00586F37"/>
    <w:rsid w:val="00586FD5"/>
    <w:rsid w:val="0058706B"/>
    <w:rsid w:val="005870D8"/>
    <w:rsid w:val="005871A1"/>
    <w:rsid w:val="00587349"/>
    <w:rsid w:val="00587495"/>
    <w:rsid w:val="00587586"/>
    <w:rsid w:val="00587809"/>
    <w:rsid w:val="005879FC"/>
    <w:rsid w:val="00587BEF"/>
    <w:rsid w:val="00587CA5"/>
    <w:rsid w:val="0059016C"/>
    <w:rsid w:val="00590174"/>
    <w:rsid w:val="0059018E"/>
    <w:rsid w:val="00590222"/>
    <w:rsid w:val="0059038C"/>
    <w:rsid w:val="005903CC"/>
    <w:rsid w:val="00590462"/>
    <w:rsid w:val="00590BD8"/>
    <w:rsid w:val="00590D50"/>
    <w:rsid w:val="00590D57"/>
    <w:rsid w:val="00590DB8"/>
    <w:rsid w:val="0059115B"/>
    <w:rsid w:val="005911D6"/>
    <w:rsid w:val="00591274"/>
    <w:rsid w:val="00591325"/>
    <w:rsid w:val="0059141A"/>
    <w:rsid w:val="00591548"/>
    <w:rsid w:val="005915E5"/>
    <w:rsid w:val="005917A1"/>
    <w:rsid w:val="00591AAC"/>
    <w:rsid w:val="00591AFD"/>
    <w:rsid w:val="00591C22"/>
    <w:rsid w:val="00592177"/>
    <w:rsid w:val="00592257"/>
    <w:rsid w:val="005925A7"/>
    <w:rsid w:val="00592783"/>
    <w:rsid w:val="005927E4"/>
    <w:rsid w:val="00592842"/>
    <w:rsid w:val="005928A0"/>
    <w:rsid w:val="00592BEA"/>
    <w:rsid w:val="00592BFF"/>
    <w:rsid w:val="00592D98"/>
    <w:rsid w:val="00592F4A"/>
    <w:rsid w:val="00593059"/>
    <w:rsid w:val="005930FA"/>
    <w:rsid w:val="0059342D"/>
    <w:rsid w:val="005934F9"/>
    <w:rsid w:val="00593866"/>
    <w:rsid w:val="00593898"/>
    <w:rsid w:val="005938CE"/>
    <w:rsid w:val="00593A24"/>
    <w:rsid w:val="00593DE7"/>
    <w:rsid w:val="00593E20"/>
    <w:rsid w:val="00593F25"/>
    <w:rsid w:val="005940E4"/>
    <w:rsid w:val="0059428C"/>
    <w:rsid w:val="0059459A"/>
    <w:rsid w:val="005945D0"/>
    <w:rsid w:val="005945D7"/>
    <w:rsid w:val="0059471E"/>
    <w:rsid w:val="005947AC"/>
    <w:rsid w:val="005947FF"/>
    <w:rsid w:val="005948E4"/>
    <w:rsid w:val="00594915"/>
    <w:rsid w:val="00594A24"/>
    <w:rsid w:val="00594C5D"/>
    <w:rsid w:val="00594EB5"/>
    <w:rsid w:val="0059507F"/>
    <w:rsid w:val="005951F9"/>
    <w:rsid w:val="0059526B"/>
    <w:rsid w:val="00595314"/>
    <w:rsid w:val="00595411"/>
    <w:rsid w:val="0059546A"/>
    <w:rsid w:val="005956D7"/>
    <w:rsid w:val="0059570E"/>
    <w:rsid w:val="0059571A"/>
    <w:rsid w:val="00595818"/>
    <w:rsid w:val="00595861"/>
    <w:rsid w:val="005959E6"/>
    <w:rsid w:val="00595AA9"/>
    <w:rsid w:val="00595BD5"/>
    <w:rsid w:val="00595C1A"/>
    <w:rsid w:val="00595F42"/>
    <w:rsid w:val="00595FE2"/>
    <w:rsid w:val="005962EE"/>
    <w:rsid w:val="005962FB"/>
    <w:rsid w:val="005969E7"/>
    <w:rsid w:val="00596B54"/>
    <w:rsid w:val="00596C7A"/>
    <w:rsid w:val="00597164"/>
    <w:rsid w:val="00597252"/>
    <w:rsid w:val="00597256"/>
    <w:rsid w:val="005972A8"/>
    <w:rsid w:val="00597312"/>
    <w:rsid w:val="005973A7"/>
    <w:rsid w:val="00597514"/>
    <w:rsid w:val="0059765D"/>
    <w:rsid w:val="00597BD1"/>
    <w:rsid w:val="005A0267"/>
    <w:rsid w:val="005A03CC"/>
    <w:rsid w:val="005A0817"/>
    <w:rsid w:val="005A0D77"/>
    <w:rsid w:val="005A0FF2"/>
    <w:rsid w:val="005A127D"/>
    <w:rsid w:val="005A13D7"/>
    <w:rsid w:val="005A170A"/>
    <w:rsid w:val="005A1784"/>
    <w:rsid w:val="005A1A18"/>
    <w:rsid w:val="005A1B4E"/>
    <w:rsid w:val="005A1D0E"/>
    <w:rsid w:val="005A1D20"/>
    <w:rsid w:val="005A1D5F"/>
    <w:rsid w:val="005A1EC9"/>
    <w:rsid w:val="005A204A"/>
    <w:rsid w:val="005A22BE"/>
    <w:rsid w:val="005A23D5"/>
    <w:rsid w:val="005A2440"/>
    <w:rsid w:val="005A245B"/>
    <w:rsid w:val="005A2588"/>
    <w:rsid w:val="005A258F"/>
    <w:rsid w:val="005A25C9"/>
    <w:rsid w:val="005A25E7"/>
    <w:rsid w:val="005A28B3"/>
    <w:rsid w:val="005A2957"/>
    <w:rsid w:val="005A29F6"/>
    <w:rsid w:val="005A2A3B"/>
    <w:rsid w:val="005A2AFF"/>
    <w:rsid w:val="005A2B92"/>
    <w:rsid w:val="005A2C57"/>
    <w:rsid w:val="005A2F8E"/>
    <w:rsid w:val="005A34C0"/>
    <w:rsid w:val="005A350A"/>
    <w:rsid w:val="005A35E9"/>
    <w:rsid w:val="005A3782"/>
    <w:rsid w:val="005A37DD"/>
    <w:rsid w:val="005A3C15"/>
    <w:rsid w:val="005A3CFD"/>
    <w:rsid w:val="005A3D3E"/>
    <w:rsid w:val="005A3F54"/>
    <w:rsid w:val="005A4349"/>
    <w:rsid w:val="005A4380"/>
    <w:rsid w:val="005A43B3"/>
    <w:rsid w:val="005A4546"/>
    <w:rsid w:val="005A492D"/>
    <w:rsid w:val="005A4CFD"/>
    <w:rsid w:val="005A4E55"/>
    <w:rsid w:val="005A50F4"/>
    <w:rsid w:val="005A51EF"/>
    <w:rsid w:val="005A53AD"/>
    <w:rsid w:val="005A54B0"/>
    <w:rsid w:val="005A571D"/>
    <w:rsid w:val="005A58CC"/>
    <w:rsid w:val="005A591A"/>
    <w:rsid w:val="005A5BB7"/>
    <w:rsid w:val="005A5CA5"/>
    <w:rsid w:val="005A5E52"/>
    <w:rsid w:val="005A5F78"/>
    <w:rsid w:val="005A611E"/>
    <w:rsid w:val="005A6202"/>
    <w:rsid w:val="005A63A5"/>
    <w:rsid w:val="005A66A9"/>
    <w:rsid w:val="005A66B4"/>
    <w:rsid w:val="005A6D6C"/>
    <w:rsid w:val="005A6EA0"/>
    <w:rsid w:val="005A716E"/>
    <w:rsid w:val="005A7220"/>
    <w:rsid w:val="005A7258"/>
    <w:rsid w:val="005A73A1"/>
    <w:rsid w:val="005A7454"/>
    <w:rsid w:val="005A7581"/>
    <w:rsid w:val="005A783D"/>
    <w:rsid w:val="005A78DC"/>
    <w:rsid w:val="005A78EE"/>
    <w:rsid w:val="005A7920"/>
    <w:rsid w:val="005A7992"/>
    <w:rsid w:val="005A7AA4"/>
    <w:rsid w:val="005A7D10"/>
    <w:rsid w:val="005A7DF5"/>
    <w:rsid w:val="005A7E94"/>
    <w:rsid w:val="005A7ED4"/>
    <w:rsid w:val="005A7F28"/>
    <w:rsid w:val="005A7F91"/>
    <w:rsid w:val="005B021A"/>
    <w:rsid w:val="005B0784"/>
    <w:rsid w:val="005B0AAA"/>
    <w:rsid w:val="005B0AC3"/>
    <w:rsid w:val="005B0C57"/>
    <w:rsid w:val="005B0D2A"/>
    <w:rsid w:val="005B0DAD"/>
    <w:rsid w:val="005B0EAE"/>
    <w:rsid w:val="005B10D9"/>
    <w:rsid w:val="005B12B7"/>
    <w:rsid w:val="005B14CC"/>
    <w:rsid w:val="005B1654"/>
    <w:rsid w:val="005B16F8"/>
    <w:rsid w:val="005B17B9"/>
    <w:rsid w:val="005B1BBF"/>
    <w:rsid w:val="005B1D26"/>
    <w:rsid w:val="005B2205"/>
    <w:rsid w:val="005B2347"/>
    <w:rsid w:val="005B255E"/>
    <w:rsid w:val="005B2639"/>
    <w:rsid w:val="005B26B6"/>
    <w:rsid w:val="005B2813"/>
    <w:rsid w:val="005B28CB"/>
    <w:rsid w:val="005B2DC6"/>
    <w:rsid w:val="005B30CB"/>
    <w:rsid w:val="005B31FA"/>
    <w:rsid w:val="005B32F3"/>
    <w:rsid w:val="005B3453"/>
    <w:rsid w:val="005B3504"/>
    <w:rsid w:val="005B3529"/>
    <w:rsid w:val="005B35DE"/>
    <w:rsid w:val="005B3633"/>
    <w:rsid w:val="005B372E"/>
    <w:rsid w:val="005B3961"/>
    <w:rsid w:val="005B3AB9"/>
    <w:rsid w:val="005B3C94"/>
    <w:rsid w:val="005B3EAA"/>
    <w:rsid w:val="005B3FFE"/>
    <w:rsid w:val="005B4006"/>
    <w:rsid w:val="005B4209"/>
    <w:rsid w:val="005B428E"/>
    <w:rsid w:val="005B46F9"/>
    <w:rsid w:val="005B49B6"/>
    <w:rsid w:val="005B49EA"/>
    <w:rsid w:val="005B4CA7"/>
    <w:rsid w:val="005B4D44"/>
    <w:rsid w:val="005B4DA2"/>
    <w:rsid w:val="005B4EF5"/>
    <w:rsid w:val="005B5129"/>
    <w:rsid w:val="005B51DC"/>
    <w:rsid w:val="005B53BE"/>
    <w:rsid w:val="005B59F7"/>
    <w:rsid w:val="005B5B2A"/>
    <w:rsid w:val="005B5DFF"/>
    <w:rsid w:val="005B5F71"/>
    <w:rsid w:val="005B6124"/>
    <w:rsid w:val="005B61DF"/>
    <w:rsid w:val="005B630D"/>
    <w:rsid w:val="005B6319"/>
    <w:rsid w:val="005B67A2"/>
    <w:rsid w:val="005B6C3D"/>
    <w:rsid w:val="005B6D0E"/>
    <w:rsid w:val="005B6D62"/>
    <w:rsid w:val="005B6F1B"/>
    <w:rsid w:val="005B73FD"/>
    <w:rsid w:val="005B771B"/>
    <w:rsid w:val="005B7B99"/>
    <w:rsid w:val="005B7E15"/>
    <w:rsid w:val="005B7F41"/>
    <w:rsid w:val="005C00DB"/>
    <w:rsid w:val="005C01BE"/>
    <w:rsid w:val="005C034A"/>
    <w:rsid w:val="005C038F"/>
    <w:rsid w:val="005C04B5"/>
    <w:rsid w:val="005C04E3"/>
    <w:rsid w:val="005C054B"/>
    <w:rsid w:val="005C05C9"/>
    <w:rsid w:val="005C06D6"/>
    <w:rsid w:val="005C0791"/>
    <w:rsid w:val="005C07E4"/>
    <w:rsid w:val="005C09CE"/>
    <w:rsid w:val="005C0A5C"/>
    <w:rsid w:val="005C0D90"/>
    <w:rsid w:val="005C10D0"/>
    <w:rsid w:val="005C117B"/>
    <w:rsid w:val="005C130E"/>
    <w:rsid w:val="005C138C"/>
    <w:rsid w:val="005C1488"/>
    <w:rsid w:val="005C16F2"/>
    <w:rsid w:val="005C173D"/>
    <w:rsid w:val="005C1779"/>
    <w:rsid w:val="005C1DD8"/>
    <w:rsid w:val="005C1E15"/>
    <w:rsid w:val="005C21F7"/>
    <w:rsid w:val="005C235B"/>
    <w:rsid w:val="005C2381"/>
    <w:rsid w:val="005C2619"/>
    <w:rsid w:val="005C2706"/>
    <w:rsid w:val="005C27F6"/>
    <w:rsid w:val="005C2CA9"/>
    <w:rsid w:val="005C2D2F"/>
    <w:rsid w:val="005C2E00"/>
    <w:rsid w:val="005C3093"/>
    <w:rsid w:val="005C309E"/>
    <w:rsid w:val="005C314C"/>
    <w:rsid w:val="005C31FF"/>
    <w:rsid w:val="005C3300"/>
    <w:rsid w:val="005C3457"/>
    <w:rsid w:val="005C35BD"/>
    <w:rsid w:val="005C3672"/>
    <w:rsid w:val="005C37C2"/>
    <w:rsid w:val="005C386D"/>
    <w:rsid w:val="005C3883"/>
    <w:rsid w:val="005C3907"/>
    <w:rsid w:val="005C3A4B"/>
    <w:rsid w:val="005C3AA8"/>
    <w:rsid w:val="005C3D0F"/>
    <w:rsid w:val="005C3D6F"/>
    <w:rsid w:val="005C3F6C"/>
    <w:rsid w:val="005C3F7E"/>
    <w:rsid w:val="005C40AF"/>
    <w:rsid w:val="005C410E"/>
    <w:rsid w:val="005C42CB"/>
    <w:rsid w:val="005C44D3"/>
    <w:rsid w:val="005C46BD"/>
    <w:rsid w:val="005C46D3"/>
    <w:rsid w:val="005C4830"/>
    <w:rsid w:val="005C4847"/>
    <w:rsid w:val="005C4956"/>
    <w:rsid w:val="005C4A3E"/>
    <w:rsid w:val="005C4D51"/>
    <w:rsid w:val="005C4E05"/>
    <w:rsid w:val="005C4E55"/>
    <w:rsid w:val="005C5114"/>
    <w:rsid w:val="005C52E3"/>
    <w:rsid w:val="005C53BB"/>
    <w:rsid w:val="005C58CE"/>
    <w:rsid w:val="005C590D"/>
    <w:rsid w:val="005C5A16"/>
    <w:rsid w:val="005C5BC9"/>
    <w:rsid w:val="005C5D04"/>
    <w:rsid w:val="005C5DA7"/>
    <w:rsid w:val="005C5DC6"/>
    <w:rsid w:val="005C60B0"/>
    <w:rsid w:val="005C6477"/>
    <w:rsid w:val="005C64B4"/>
    <w:rsid w:val="005C6683"/>
    <w:rsid w:val="005C6D0C"/>
    <w:rsid w:val="005C6E43"/>
    <w:rsid w:val="005C6ED6"/>
    <w:rsid w:val="005C6EEA"/>
    <w:rsid w:val="005C6F97"/>
    <w:rsid w:val="005C71AC"/>
    <w:rsid w:val="005C72AA"/>
    <w:rsid w:val="005C731C"/>
    <w:rsid w:val="005C747C"/>
    <w:rsid w:val="005C74A3"/>
    <w:rsid w:val="005C7708"/>
    <w:rsid w:val="005C7A38"/>
    <w:rsid w:val="005C7B19"/>
    <w:rsid w:val="005C7B82"/>
    <w:rsid w:val="005C7C6D"/>
    <w:rsid w:val="005C7E63"/>
    <w:rsid w:val="005C7ECB"/>
    <w:rsid w:val="005C7F44"/>
    <w:rsid w:val="005C7FFA"/>
    <w:rsid w:val="005D057D"/>
    <w:rsid w:val="005D06F7"/>
    <w:rsid w:val="005D0B2F"/>
    <w:rsid w:val="005D0D7F"/>
    <w:rsid w:val="005D0E3F"/>
    <w:rsid w:val="005D0EA1"/>
    <w:rsid w:val="005D12A1"/>
    <w:rsid w:val="005D12EB"/>
    <w:rsid w:val="005D1531"/>
    <w:rsid w:val="005D1692"/>
    <w:rsid w:val="005D1733"/>
    <w:rsid w:val="005D1859"/>
    <w:rsid w:val="005D1CCD"/>
    <w:rsid w:val="005D1CDD"/>
    <w:rsid w:val="005D1E30"/>
    <w:rsid w:val="005D1EA1"/>
    <w:rsid w:val="005D1EB0"/>
    <w:rsid w:val="005D2401"/>
    <w:rsid w:val="005D24FA"/>
    <w:rsid w:val="005D258F"/>
    <w:rsid w:val="005D2760"/>
    <w:rsid w:val="005D288C"/>
    <w:rsid w:val="005D2A19"/>
    <w:rsid w:val="005D2B06"/>
    <w:rsid w:val="005D2B30"/>
    <w:rsid w:val="005D2D63"/>
    <w:rsid w:val="005D3047"/>
    <w:rsid w:val="005D30EB"/>
    <w:rsid w:val="005D31A9"/>
    <w:rsid w:val="005D33BA"/>
    <w:rsid w:val="005D3439"/>
    <w:rsid w:val="005D34E7"/>
    <w:rsid w:val="005D34ED"/>
    <w:rsid w:val="005D39AF"/>
    <w:rsid w:val="005D3F0A"/>
    <w:rsid w:val="005D3F5F"/>
    <w:rsid w:val="005D3F94"/>
    <w:rsid w:val="005D3F95"/>
    <w:rsid w:val="005D4083"/>
    <w:rsid w:val="005D4186"/>
    <w:rsid w:val="005D44AD"/>
    <w:rsid w:val="005D46E4"/>
    <w:rsid w:val="005D4ABB"/>
    <w:rsid w:val="005D4E0E"/>
    <w:rsid w:val="005D4E35"/>
    <w:rsid w:val="005D4F68"/>
    <w:rsid w:val="005D4FDA"/>
    <w:rsid w:val="005D51CC"/>
    <w:rsid w:val="005D5292"/>
    <w:rsid w:val="005D52ED"/>
    <w:rsid w:val="005D52F8"/>
    <w:rsid w:val="005D5383"/>
    <w:rsid w:val="005D5451"/>
    <w:rsid w:val="005D5766"/>
    <w:rsid w:val="005D587E"/>
    <w:rsid w:val="005D5A5C"/>
    <w:rsid w:val="005D5B2E"/>
    <w:rsid w:val="005D5CEE"/>
    <w:rsid w:val="005D5FD6"/>
    <w:rsid w:val="005D60C8"/>
    <w:rsid w:val="005D61E0"/>
    <w:rsid w:val="005D6248"/>
    <w:rsid w:val="005D6411"/>
    <w:rsid w:val="005D67A4"/>
    <w:rsid w:val="005D698A"/>
    <w:rsid w:val="005D69C4"/>
    <w:rsid w:val="005D69ED"/>
    <w:rsid w:val="005D6B97"/>
    <w:rsid w:val="005D6D1B"/>
    <w:rsid w:val="005D6E8F"/>
    <w:rsid w:val="005D7047"/>
    <w:rsid w:val="005D70C5"/>
    <w:rsid w:val="005D7186"/>
    <w:rsid w:val="005D7303"/>
    <w:rsid w:val="005D73B2"/>
    <w:rsid w:val="005D74A8"/>
    <w:rsid w:val="005D7546"/>
    <w:rsid w:val="005D77EB"/>
    <w:rsid w:val="005D7AB1"/>
    <w:rsid w:val="005D7B0D"/>
    <w:rsid w:val="005D7B50"/>
    <w:rsid w:val="005D7D5C"/>
    <w:rsid w:val="005D7D89"/>
    <w:rsid w:val="005E005F"/>
    <w:rsid w:val="005E00CD"/>
    <w:rsid w:val="005E014E"/>
    <w:rsid w:val="005E03EE"/>
    <w:rsid w:val="005E06CA"/>
    <w:rsid w:val="005E0796"/>
    <w:rsid w:val="005E0926"/>
    <w:rsid w:val="005E0A82"/>
    <w:rsid w:val="005E0ABE"/>
    <w:rsid w:val="005E0BB7"/>
    <w:rsid w:val="005E0C5E"/>
    <w:rsid w:val="005E0DC0"/>
    <w:rsid w:val="005E0F99"/>
    <w:rsid w:val="005E101F"/>
    <w:rsid w:val="005E1069"/>
    <w:rsid w:val="005E10B0"/>
    <w:rsid w:val="005E1146"/>
    <w:rsid w:val="005E1287"/>
    <w:rsid w:val="005E134C"/>
    <w:rsid w:val="005E151F"/>
    <w:rsid w:val="005E1665"/>
    <w:rsid w:val="005E19B6"/>
    <w:rsid w:val="005E1ECB"/>
    <w:rsid w:val="005E1F40"/>
    <w:rsid w:val="005E21D8"/>
    <w:rsid w:val="005E22E8"/>
    <w:rsid w:val="005E23C9"/>
    <w:rsid w:val="005E250A"/>
    <w:rsid w:val="005E268E"/>
    <w:rsid w:val="005E28B3"/>
    <w:rsid w:val="005E29FD"/>
    <w:rsid w:val="005E2BB1"/>
    <w:rsid w:val="005E2C89"/>
    <w:rsid w:val="005E2CEC"/>
    <w:rsid w:val="005E2F6E"/>
    <w:rsid w:val="005E2FB8"/>
    <w:rsid w:val="005E3055"/>
    <w:rsid w:val="005E3152"/>
    <w:rsid w:val="005E31AB"/>
    <w:rsid w:val="005E3220"/>
    <w:rsid w:val="005E3406"/>
    <w:rsid w:val="005E3692"/>
    <w:rsid w:val="005E36B0"/>
    <w:rsid w:val="005E3941"/>
    <w:rsid w:val="005E39A5"/>
    <w:rsid w:val="005E3B48"/>
    <w:rsid w:val="005E3B8A"/>
    <w:rsid w:val="005E3DB9"/>
    <w:rsid w:val="005E3FD7"/>
    <w:rsid w:val="005E411E"/>
    <w:rsid w:val="005E4326"/>
    <w:rsid w:val="005E4372"/>
    <w:rsid w:val="005E48F0"/>
    <w:rsid w:val="005E49C9"/>
    <w:rsid w:val="005E49EB"/>
    <w:rsid w:val="005E4B4B"/>
    <w:rsid w:val="005E4B89"/>
    <w:rsid w:val="005E4CE5"/>
    <w:rsid w:val="005E4E53"/>
    <w:rsid w:val="005E51D9"/>
    <w:rsid w:val="005E5464"/>
    <w:rsid w:val="005E559E"/>
    <w:rsid w:val="005E55DD"/>
    <w:rsid w:val="005E5628"/>
    <w:rsid w:val="005E569C"/>
    <w:rsid w:val="005E5B66"/>
    <w:rsid w:val="005E5C07"/>
    <w:rsid w:val="005E5FD4"/>
    <w:rsid w:val="005E60BB"/>
    <w:rsid w:val="005E620A"/>
    <w:rsid w:val="005E6219"/>
    <w:rsid w:val="005E6317"/>
    <w:rsid w:val="005E688B"/>
    <w:rsid w:val="005E68E7"/>
    <w:rsid w:val="005E6D3C"/>
    <w:rsid w:val="005E7098"/>
    <w:rsid w:val="005E7200"/>
    <w:rsid w:val="005E72CB"/>
    <w:rsid w:val="005E758E"/>
    <w:rsid w:val="005E77A8"/>
    <w:rsid w:val="005E7997"/>
    <w:rsid w:val="005E7B42"/>
    <w:rsid w:val="005E7DB0"/>
    <w:rsid w:val="005E7E2A"/>
    <w:rsid w:val="005E7E3B"/>
    <w:rsid w:val="005E7E8F"/>
    <w:rsid w:val="005E7F87"/>
    <w:rsid w:val="005F0077"/>
    <w:rsid w:val="005F0115"/>
    <w:rsid w:val="005F04D8"/>
    <w:rsid w:val="005F0697"/>
    <w:rsid w:val="005F0815"/>
    <w:rsid w:val="005F08EF"/>
    <w:rsid w:val="005F1297"/>
    <w:rsid w:val="005F12C7"/>
    <w:rsid w:val="005F1540"/>
    <w:rsid w:val="005F15FD"/>
    <w:rsid w:val="005F18E8"/>
    <w:rsid w:val="005F1E13"/>
    <w:rsid w:val="005F1ECB"/>
    <w:rsid w:val="005F229B"/>
    <w:rsid w:val="005F2390"/>
    <w:rsid w:val="005F26B5"/>
    <w:rsid w:val="005F2C6A"/>
    <w:rsid w:val="005F2EF9"/>
    <w:rsid w:val="005F301C"/>
    <w:rsid w:val="005F3203"/>
    <w:rsid w:val="005F3239"/>
    <w:rsid w:val="005F357F"/>
    <w:rsid w:val="005F383D"/>
    <w:rsid w:val="005F3864"/>
    <w:rsid w:val="005F3BD9"/>
    <w:rsid w:val="005F3C85"/>
    <w:rsid w:val="005F3FC7"/>
    <w:rsid w:val="005F40E0"/>
    <w:rsid w:val="005F425F"/>
    <w:rsid w:val="005F44E2"/>
    <w:rsid w:val="005F4FF0"/>
    <w:rsid w:val="005F5139"/>
    <w:rsid w:val="005F5A33"/>
    <w:rsid w:val="005F5D63"/>
    <w:rsid w:val="005F64D0"/>
    <w:rsid w:val="005F656C"/>
    <w:rsid w:val="005F6782"/>
    <w:rsid w:val="005F6854"/>
    <w:rsid w:val="005F68F4"/>
    <w:rsid w:val="005F6DD6"/>
    <w:rsid w:val="005F6E2B"/>
    <w:rsid w:val="005F7496"/>
    <w:rsid w:val="005F7785"/>
    <w:rsid w:val="005F77E5"/>
    <w:rsid w:val="005F7A10"/>
    <w:rsid w:val="005F7B67"/>
    <w:rsid w:val="005F7D36"/>
    <w:rsid w:val="005F7F07"/>
    <w:rsid w:val="0060031F"/>
    <w:rsid w:val="006004BF"/>
    <w:rsid w:val="00600812"/>
    <w:rsid w:val="006008F8"/>
    <w:rsid w:val="00600A63"/>
    <w:rsid w:val="00600D24"/>
    <w:rsid w:val="00600D46"/>
    <w:rsid w:val="00600E68"/>
    <w:rsid w:val="00600F2D"/>
    <w:rsid w:val="00601039"/>
    <w:rsid w:val="00601049"/>
    <w:rsid w:val="006011F2"/>
    <w:rsid w:val="00601200"/>
    <w:rsid w:val="0060165C"/>
    <w:rsid w:val="00601700"/>
    <w:rsid w:val="00601B42"/>
    <w:rsid w:val="00601CF9"/>
    <w:rsid w:val="00601DE8"/>
    <w:rsid w:val="006021DF"/>
    <w:rsid w:val="0060237D"/>
    <w:rsid w:val="006023A5"/>
    <w:rsid w:val="0060246F"/>
    <w:rsid w:val="006026E5"/>
    <w:rsid w:val="00602D1B"/>
    <w:rsid w:val="00603339"/>
    <w:rsid w:val="00603999"/>
    <w:rsid w:val="00603CC0"/>
    <w:rsid w:val="00603D3C"/>
    <w:rsid w:val="00603EA3"/>
    <w:rsid w:val="00603F2A"/>
    <w:rsid w:val="006041B8"/>
    <w:rsid w:val="006042DD"/>
    <w:rsid w:val="006043CF"/>
    <w:rsid w:val="006047FD"/>
    <w:rsid w:val="006048E6"/>
    <w:rsid w:val="00604927"/>
    <w:rsid w:val="00604B4D"/>
    <w:rsid w:val="00604BA8"/>
    <w:rsid w:val="00604BC0"/>
    <w:rsid w:val="00604D53"/>
    <w:rsid w:val="00604DFE"/>
    <w:rsid w:val="00605296"/>
    <w:rsid w:val="0060542A"/>
    <w:rsid w:val="00605830"/>
    <w:rsid w:val="006058F1"/>
    <w:rsid w:val="006058F6"/>
    <w:rsid w:val="0060594D"/>
    <w:rsid w:val="00605B7C"/>
    <w:rsid w:val="00605C33"/>
    <w:rsid w:val="00605DC9"/>
    <w:rsid w:val="00606323"/>
    <w:rsid w:val="00606326"/>
    <w:rsid w:val="006063F0"/>
    <w:rsid w:val="00606A25"/>
    <w:rsid w:val="00606E0A"/>
    <w:rsid w:val="006070A6"/>
    <w:rsid w:val="006071FD"/>
    <w:rsid w:val="0060748F"/>
    <w:rsid w:val="0060776F"/>
    <w:rsid w:val="006079B6"/>
    <w:rsid w:val="006079BB"/>
    <w:rsid w:val="00607A72"/>
    <w:rsid w:val="00607B41"/>
    <w:rsid w:val="00607B5E"/>
    <w:rsid w:val="00607E78"/>
    <w:rsid w:val="006100DE"/>
    <w:rsid w:val="00610615"/>
    <w:rsid w:val="00610681"/>
    <w:rsid w:val="00610781"/>
    <w:rsid w:val="00610A97"/>
    <w:rsid w:val="00610BA4"/>
    <w:rsid w:val="00610BCF"/>
    <w:rsid w:val="00610CCC"/>
    <w:rsid w:val="00610D35"/>
    <w:rsid w:val="0061114E"/>
    <w:rsid w:val="00611AFB"/>
    <w:rsid w:val="00611CBE"/>
    <w:rsid w:val="00611D04"/>
    <w:rsid w:val="00611D3A"/>
    <w:rsid w:val="00611EB3"/>
    <w:rsid w:val="00611EF9"/>
    <w:rsid w:val="00611F58"/>
    <w:rsid w:val="006120C2"/>
    <w:rsid w:val="006121CD"/>
    <w:rsid w:val="00612295"/>
    <w:rsid w:val="00612554"/>
    <w:rsid w:val="00612795"/>
    <w:rsid w:val="0061292E"/>
    <w:rsid w:val="0061293B"/>
    <w:rsid w:val="006129F8"/>
    <w:rsid w:val="00612FF2"/>
    <w:rsid w:val="006130A4"/>
    <w:rsid w:val="006131D7"/>
    <w:rsid w:val="0061332B"/>
    <w:rsid w:val="00613358"/>
    <w:rsid w:val="00613564"/>
    <w:rsid w:val="0061378B"/>
    <w:rsid w:val="00613817"/>
    <w:rsid w:val="00613A48"/>
    <w:rsid w:val="00613A57"/>
    <w:rsid w:val="00613C34"/>
    <w:rsid w:val="00613C38"/>
    <w:rsid w:val="00614127"/>
    <w:rsid w:val="00614205"/>
    <w:rsid w:val="006144C9"/>
    <w:rsid w:val="0061453C"/>
    <w:rsid w:val="00614559"/>
    <w:rsid w:val="00614800"/>
    <w:rsid w:val="00614C7E"/>
    <w:rsid w:val="00614EBC"/>
    <w:rsid w:val="00614EC6"/>
    <w:rsid w:val="00614EDD"/>
    <w:rsid w:val="00614FA4"/>
    <w:rsid w:val="006153E4"/>
    <w:rsid w:val="00615443"/>
    <w:rsid w:val="00615521"/>
    <w:rsid w:val="006156D0"/>
    <w:rsid w:val="0061577E"/>
    <w:rsid w:val="006157F6"/>
    <w:rsid w:val="00615936"/>
    <w:rsid w:val="00615A1F"/>
    <w:rsid w:val="00615BB8"/>
    <w:rsid w:val="00616342"/>
    <w:rsid w:val="00616712"/>
    <w:rsid w:val="0061696B"/>
    <w:rsid w:val="00616CD9"/>
    <w:rsid w:val="00616E9E"/>
    <w:rsid w:val="00616EFF"/>
    <w:rsid w:val="00617227"/>
    <w:rsid w:val="00617697"/>
    <w:rsid w:val="0061794E"/>
    <w:rsid w:val="006179FE"/>
    <w:rsid w:val="00617AB3"/>
    <w:rsid w:val="00617BF3"/>
    <w:rsid w:val="00617CD9"/>
    <w:rsid w:val="006201C3"/>
    <w:rsid w:val="0062050D"/>
    <w:rsid w:val="0062073F"/>
    <w:rsid w:val="0062074D"/>
    <w:rsid w:val="00620A80"/>
    <w:rsid w:val="00620AC0"/>
    <w:rsid w:val="00620B41"/>
    <w:rsid w:val="00620D62"/>
    <w:rsid w:val="00620EB8"/>
    <w:rsid w:val="00620FFF"/>
    <w:rsid w:val="006210DB"/>
    <w:rsid w:val="006213B3"/>
    <w:rsid w:val="006215A1"/>
    <w:rsid w:val="0062160C"/>
    <w:rsid w:val="0062162C"/>
    <w:rsid w:val="006216FC"/>
    <w:rsid w:val="00621AC0"/>
    <w:rsid w:val="00621C3C"/>
    <w:rsid w:val="00621D2A"/>
    <w:rsid w:val="00622102"/>
    <w:rsid w:val="0062216A"/>
    <w:rsid w:val="0062236C"/>
    <w:rsid w:val="006228D3"/>
    <w:rsid w:val="00622A33"/>
    <w:rsid w:val="00622B07"/>
    <w:rsid w:val="00622B6C"/>
    <w:rsid w:val="00622C41"/>
    <w:rsid w:val="00622DBB"/>
    <w:rsid w:val="00622F79"/>
    <w:rsid w:val="006230C3"/>
    <w:rsid w:val="0062379C"/>
    <w:rsid w:val="0062386A"/>
    <w:rsid w:val="00623AEA"/>
    <w:rsid w:val="00623B43"/>
    <w:rsid w:val="00623CFC"/>
    <w:rsid w:val="00623FA5"/>
    <w:rsid w:val="006241E7"/>
    <w:rsid w:val="00624A77"/>
    <w:rsid w:val="00624DD3"/>
    <w:rsid w:val="00625090"/>
    <w:rsid w:val="00625248"/>
    <w:rsid w:val="006253C0"/>
    <w:rsid w:val="00625403"/>
    <w:rsid w:val="006258D5"/>
    <w:rsid w:val="006259FC"/>
    <w:rsid w:val="00625C73"/>
    <w:rsid w:val="00625E12"/>
    <w:rsid w:val="00625E31"/>
    <w:rsid w:val="00625F0C"/>
    <w:rsid w:val="00625FA9"/>
    <w:rsid w:val="00626016"/>
    <w:rsid w:val="0062603B"/>
    <w:rsid w:val="006263BA"/>
    <w:rsid w:val="00626A56"/>
    <w:rsid w:val="00626D55"/>
    <w:rsid w:val="00626E23"/>
    <w:rsid w:val="0062708C"/>
    <w:rsid w:val="006271B1"/>
    <w:rsid w:val="00627215"/>
    <w:rsid w:val="006273A7"/>
    <w:rsid w:val="00627493"/>
    <w:rsid w:val="006276DC"/>
    <w:rsid w:val="00627728"/>
    <w:rsid w:val="0062777E"/>
    <w:rsid w:val="00627A67"/>
    <w:rsid w:val="00627B1A"/>
    <w:rsid w:val="00627D39"/>
    <w:rsid w:val="00627E1C"/>
    <w:rsid w:val="006301A0"/>
    <w:rsid w:val="006301DC"/>
    <w:rsid w:val="0063026B"/>
    <w:rsid w:val="0063057D"/>
    <w:rsid w:val="00630679"/>
    <w:rsid w:val="006306D5"/>
    <w:rsid w:val="00630B11"/>
    <w:rsid w:val="00630B5C"/>
    <w:rsid w:val="00630B67"/>
    <w:rsid w:val="00630F0C"/>
    <w:rsid w:val="00631040"/>
    <w:rsid w:val="0063168C"/>
    <w:rsid w:val="006316C3"/>
    <w:rsid w:val="00631825"/>
    <w:rsid w:val="00631AF4"/>
    <w:rsid w:val="00631BEB"/>
    <w:rsid w:val="00631E7A"/>
    <w:rsid w:val="00631FDD"/>
    <w:rsid w:val="00632238"/>
    <w:rsid w:val="006322E4"/>
    <w:rsid w:val="00632362"/>
    <w:rsid w:val="006327C3"/>
    <w:rsid w:val="00632AAF"/>
    <w:rsid w:val="00632C6B"/>
    <w:rsid w:val="00632D1F"/>
    <w:rsid w:val="00633160"/>
    <w:rsid w:val="006333C6"/>
    <w:rsid w:val="00633470"/>
    <w:rsid w:val="00633588"/>
    <w:rsid w:val="00633705"/>
    <w:rsid w:val="006337A7"/>
    <w:rsid w:val="00633B9F"/>
    <w:rsid w:val="00633C6D"/>
    <w:rsid w:val="00633DC9"/>
    <w:rsid w:val="00633EA4"/>
    <w:rsid w:val="006340DF"/>
    <w:rsid w:val="0063411E"/>
    <w:rsid w:val="006341AE"/>
    <w:rsid w:val="0063429D"/>
    <w:rsid w:val="006342DE"/>
    <w:rsid w:val="006344E9"/>
    <w:rsid w:val="00634708"/>
    <w:rsid w:val="00634B0C"/>
    <w:rsid w:val="00634BC7"/>
    <w:rsid w:val="00635196"/>
    <w:rsid w:val="0063542E"/>
    <w:rsid w:val="006355F9"/>
    <w:rsid w:val="00635A08"/>
    <w:rsid w:val="00635C16"/>
    <w:rsid w:val="00635C93"/>
    <w:rsid w:val="00635CC5"/>
    <w:rsid w:val="00635D34"/>
    <w:rsid w:val="00635D46"/>
    <w:rsid w:val="00635D66"/>
    <w:rsid w:val="00635F1B"/>
    <w:rsid w:val="00635FD6"/>
    <w:rsid w:val="00636233"/>
    <w:rsid w:val="006363EC"/>
    <w:rsid w:val="00636427"/>
    <w:rsid w:val="00636717"/>
    <w:rsid w:val="00636840"/>
    <w:rsid w:val="00636A15"/>
    <w:rsid w:val="00636A3C"/>
    <w:rsid w:val="00636C02"/>
    <w:rsid w:val="00636C2E"/>
    <w:rsid w:val="00636C84"/>
    <w:rsid w:val="00636D5D"/>
    <w:rsid w:val="00636E30"/>
    <w:rsid w:val="00636F42"/>
    <w:rsid w:val="00636FE7"/>
    <w:rsid w:val="006370E3"/>
    <w:rsid w:val="00637321"/>
    <w:rsid w:val="0063740D"/>
    <w:rsid w:val="006375D0"/>
    <w:rsid w:val="0063763C"/>
    <w:rsid w:val="00637963"/>
    <w:rsid w:val="00637996"/>
    <w:rsid w:val="00637D0A"/>
    <w:rsid w:val="00637F88"/>
    <w:rsid w:val="00637FD6"/>
    <w:rsid w:val="00640209"/>
    <w:rsid w:val="00640343"/>
    <w:rsid w:val="006403B1"/>
    <w:rsid w:val="00640511"/>
    <w:rsid w:val="0064063E"/>
    <w:rsid w:val="00640B7E"/>
    <w:rsid w:val="00640DA9"/>
    <w:rsid w:val="00640ECD"/>
    <w:rsid w:val="00640F6F"/>
    <w:rsid w:val="006411D7"/>
    <w:rsid w:val="00641276"/>
    <w:rsid w:val="00641839"/>
    <w:rsid w:val="00641AB2"/>
    <w:rsid w:val="00641B95"/>
    <w:rsid w:val="00641C66"/>
    <w:rsid w:val="00641D32"/>
    <w:rsid w:val="00641F1A"/>
    <w:rsid w:val="00641F82"/>
    <w:rsid w:val="00642101"/>
    <w:rsid w:val="00642700"/>
    <w:rsid w:val="006427B2"/>
    <w:rsid w:val="00642941"/>
    <w:rsid w:val="00642950"/>
    <w:rsid w:val="00642CA5"/>
    <w:rsid w:val="00642DA1"/>
    <w:rsid w:val="00643125"/>
    <w:rsid w:val="0064338B"/>
    <w:rsid w:val="006434BF"/>
    <w:rsid w:val="006435D5"/>
    <w:rsid w:val="006437DC"/>
    <w:rsid w:val="006439DB"/>
    <w:rsid w:val="006439F9"/>
    <w:rsid w:val="00643AA8"/>
    <w:rsid w:val="00643B25"/>
    <w:rsid w:val="00643D07"/>
    <w:rsid w:val="00643D45"/>
    <w:rsid w:val="0064430B"/>
    <w:rsid w:val="006445FD"/>
    <w:rsid w:val="00644708"/>
    <w:rsid w:val="006447B5"/>
    <w:rsid w:val="00644883"/>
    <w:rsid w:val="006449DB"/>
    <w:rsid w:val="00644A5C"/>
    <w:rsid w:val="00644AD9"/>
    <w:rsid w:val="00644D38"/>
    <w:rsid w:val="00644D8A"/>
    <w:rsid w:val="00645B1F"/>
    <w:rsid w:val="00645B20"/>
    <w:rsid w:val="00645B6A"/>
    <w:rsid w:val="00645C03"/>
    <w:rsid w:val="00645C89"/>
    <w:rsid w:val="00645D4E"/>
    <w:rsid w:val="00645DC4"/>
    <w:rsid w:val="00645DEC"/>
    <w:rsid w:val="00645E22"/>
    <w:rsid w:val="00645EA1"/>
    <w:rsid w:val="006462A8"/>
    <w:rsid w:val="00646429"/>
    <w:rsid w:val="00646662"/>
    <w:rsid w:val="00646705"/>
    <w:rsid w:val="006469A3"/>
    <w:rsid w:val="00646AF2"/>
    <w:rsid w:val="00646B18"/>
    <w:rsid w:val="00646B74"/>
    <w:rsid w:val="00646C3A"/>
    <w:rsid w:val="00646EDA"/>
    <w:rsid w:val="006470BD"/>
    <w:rsid w:val="00647302"/>
    <w:rsid w:val="0064734A"/>
    <w:rsid w:val="006476F5"/>
    <w:rsid w:val="006478AE"/>
    <w:rsid w:val="006479F0"/>
    <w:rsid w:val="00647C7D"/>
    <w:rsid w:val="0065000D"/>
    <w:rsid w:val="00650093"/>
    <w:rsid w:val="006501FF"/>
    <w:rsid w:val="006503E3"/>
    <w:rsid w:val="006504CE"/>
    <w:rsid w:val="00650544"/>
    <w:rsid w:val="006506B0"/>
    <w:rsid w:val="006506F6"/>
    <w:rsid w:val="00650755"/>
    <w:rsid w:val="006508AC"/>
    <w:rsid w:val="006508FA"/>
    <w:rsid w:val="00650B4D"/>
    <w:rsid w:val="00650C57"/>
    <w:rsid w:val="00650D17"/>
    <w:rsid w:val="00650D53"/>
    <w:rsid w:val="00650FC6"/>
    <w:rsid w:val="00651092"/>
    <w:rsid w:val="006511C5"/>
    <w:rsid w:val="006511D8"/>
    <w:rsid w:val="006512A6"/>
    <w:rsid w:val="0065134D"/>
    <w:rsid w:val="00651392"/>
    <w:rsid w:val="00651560"/>
    <w:rsid w:val="006515DF"/>
    <w:rsid w:val="00651690"/>
    <w:rsid w:val="00651758"/>
    <w:rsid w:val="006518C6"/>
    <w:rsid w:val="00651C3A"/>
    <w:rsid w:val="00651D50"/>
    <w:rsid w:val="00651F50"/>
    <w:rsid w:val="00651F9D"/>
    <w:rsid w:val="00651FD4"/>
    <w:rsid w:val="006520A3"/>
    <w:rsid w:val="00652421"/>
    <w:rsid w:val="00652495"/>
    <w:rsid w:val="006525D2"/>
    <w:rsid w:val="00652768"/>
    <w:rsid w:val="00652A5F"/>
    <w:rsid w:val="00652E67"/>
    <w:rsid w:val="006531AE"/>
    <w:rsid w:val="0065348E"/>
    <w:rsid w:val="006535C3"/>
    <w:rsid w:val="00653689"/>
    <w:rsid w:val="006537C0"/>
    <w:rsid w:val="00653923"/>
    <w:rsid w:val="00653C09"/>
    <w:rsid w:val="00653D1C"/>
    <w:rsid w:val="00653EFC"/>
    <w:rsid w:val="00654225"/>
    <w:rsid w:val="00654284"/>
    <w:rsid w:val="00654606"/>
    <w:rsid w:val="0065472E"/>
    <w:rsid w:val="006548AA"/>
    <w:rsid w:val="00654A32"/>
    <w:rsid w:val="00654A92"/>
    <w:rsid w:val="00654BC0"/>
    <w:rsid w:val="00654F39"/>
    <w:rsid w:val="00654F44"/>
    <w:rsid w:val="00655680"/>
    <w:rsid w:val="00655918"/>
    <w:rsid w:val="00655A5A"/>
    <w:rsid w:val="00655A66"/>
    <w:rsid w:val="00655C40"/>
    <w:rsid w:val="00655EAD"/>
    <w:rsid w:val="00656349"/>
    <w:rsid w:val="006563A5"/>
    <w:rsid w:val="0065640C"/>
    <w:rsid w:val="00656469"/>
    <w:rsid w:val="006564EC"/>
    <w:rsid w:val="006565B6"/>
    <w:rsid w:val="00656755"/>
    <w:rsid w:val="006567B4"/>
    <w:rsid w:val="0065691B"/>
    <w:rsid w:val="00656AB0"/>
    <w:rsid w:val="00656B57"/>
    <w:rsid w:val="00656BCD"/>
    <w:rsid w:val="00656CD3"/>
    <w:rsid w:val="00656E7E"/>
    <w:rsid w:val="00656F24"/>
    <w:rsid w:val="00656F25"/>
    <w:rsid w:val="006571F4"/>
    <w:rsid w:val="0065722A"/>
    <w:rsid w:val="006572BF"/>
    <w:rsid w:val="006578FB"/>
    <w:rsid w:val="0065797C"/>
    <w:rsid w:val="00657CFE"/>
    <w:rsid w:val="00657D85"/>
    <w:rsid w:val="00657E6D"/>
    <w:rsid w:val="00657F0D"/>
    <w:rsid w:val="00657F53"/>
    <w:rsid w:val="00660005"/>
    <w:rsid w:val="0066008F"/>
    <w:rsid w:val="00660486"/>
    <w:rsid w:val="006604E4"/>
    <w:rsid w:val="006608CD"/>
    <w:rsid w:val="00660938"/>
    <w:rsid w:val="00660A44"/>
    <w:rsid w:val="00660A7A"/>
    <w:rsid w:val="00660B43"/>
    <w:rsid w:val="00660CB6"/>
    <w:rsid w:val="00660F72"/>
    <w:rsid w:val="00660FD8"/>
    <w:rsid w:val="00661045"/>
    <w:rsid w:val="0066179D"/>
    <w:rsid w:val="006618DB"/>
    <w:rsid w:val="00661D16"/>
    <w:rsid w:val="00661E48"/>
    <w:rsid w:val="00661F4A"/>
    <w:rsid w:val="00662013"/>
    <w:rsid w:val="006624B4"/>
    <w:rsid w:val="0066293E"/>
    <w:rsid w:val="00662A1F"/>
    <w:rsid w:val="00662B18"/>
    <w:rsid w:val="00662BD4"/>
    <w:rsid w:val="00662E4B"/>
    <w:rsid w:val="00662F95"/>
    <w:rsid w:val="006630A6"/>
    <w:rsid w:val="006631A5"/>
    <w:rsid w:val="006632BA"/>
    <w:rsid w:val="006633D1"/>
    <w:rsid w:val="006634D8"/>
    <w:rsid w:val="0066355D"/>
    <w:rsid w:val="006636EE"/>
    <w:rsid w:val="00663763"/>
    <w:rsid w:val="00663997"/>
    <w:rsid w:val="00663A4E"/>
    <w:rsid w:val="00663B01"/>
    <w:rsid w:val="00663B2C"/>
    <w:rsid w:val="00663B32"/>
    <w:rsid w:val="00663B33"/>
    <w:rsid w:val="00663BEE"/>
    <w:rsid w:val="00663F24"/>
    <w:rsid w:val="00664603"/>
    <w:rsid w:val="00664747"/>
    <w:rsid w:val="0066490F"/>
    <w:rsid w:val="00664EE2"/>
    <w:rsid w:val="00664F42"/>
    <w:rsid w:val="0066500C"/>
    <w:rsid w:val="0066512E"/>
    <w:rsid w:val="00665507"/>
    <w:rsid w:val="00665932"/>
    <w:rsid w:val="006659CB"/>
    <w:rsid w:val="00665B90"/>
    <w:rsid w:val="00665C25"/>
    <w:rsid w:val="00665C71"/>
    <w:rsid w:val="00665C82"/>
    <w:rsid w:val="00665D4A"/>
    <w:rsid w:val="00665F6B"/>
    <w:rsid w:val="00666150"/>
    <w:rsid w:val="00666332"/>
    <w:rsid w:val="00666336"/>
    <w:rsid w:val="00666469"/>
    <w:rsid w:val="00666833"/>
    <w:rsid w:val="00666B1F"/>
    <w:rsid w:val="00666FF4"/>
    <w:rsid w:val="00667081"/>
    <w:rsid w:val="0066711D"/>
    <w:rsid w:val="006672E2"/>
    <w:rsid w:val="0066749D"/>
    <w:rsid w:val="00667787"/>
    <w:rsid w:val="00667933"/>
    <w:rsid w:val="00667CB0"/>
    <w:rsid w:val="00667CD9"/>
    <w:rsid w:val="00667D1B"/>
    <w:rsid w:val="00667D3F"/>
    <w:rsid w:val="00667E8D"/>
    <w:rsid w:val="00667EDF"/>
    <w:rsid w:val="00667FFC"/>
    <w:rsid w:val="00670034"/>
    <w:rsid w:val="0067042A"/>
    <w:rsid w:val="00670541"/>
    <w:rsid w:val="006705C5"/>
    <w:rsid w:val="00670815"/>
    <w:rsid w:val="00670930"/>
    <w:rsid w:val="00670B52"/>
    <w:rsid w:val="00670D23"/>
    <w:rsid w:val="00670D74"/>
    <w:rsid w:val="00670FEC"/>
    <w:rsid w:val="006710F8"/>
    <w:rsid w:val="00671253"/>
    <w:rsid w:val="00671641"/>
    <w:rsid w:val="006717AD"/>
    <w:rsid w:val="0067187D"/>
    <w:rsid w:val="006719DE"/>
    <w:rsid w:val="00671AC5"/>
    <w:rsid w:val="00671B0A"/>
    <w:rsid w:val="00671BAC"/>
    <w:rsid w:val="0067222C"/>
    <w:rsid w:val="0067235E"/>
    <w:rsid w:val="00672534"/>
    <w:rsid w:val="00672825"/>
    <w:rsid w:val="0067291B"/>
    <w:rsid w:val="0067297C"/>
    <w:rsid w:val="00672B83"/>
    <w:rsid w:val="00672DD5"/>
    <w:rsid w:val="00672E65"/>
    <w:rsid w:val="00672E96"/>
    <w:rsid w:val="00672EEE"/>
    <w:rsid w:val="00672F48"/>
    <w:rsid w:val="00672F95"/>
    <w:rsid w:val="00673035"/>
    <w:rsid w:val="006733CB"/>
    <w:rsid w:val="0067350A"/>
    <w:rsid w:val="006738D9"/>
    <w:rsid w:val="00673A05"/>
    <w:rsid w:val="00673A19"/>
    <w:rsid w:val="00673C71"/>
    <w:rsid w:val="00673D8D"/>
    <w:rsid w:val="00673F97"/>
    <w:rsid w:val="00673FEE"/>
    <w:rsid w:val="00674174"/>
    <w:rsid w:val="006743E2"/>
    <w:rsid w:val="0067460A"/>
    <w:rsid w:val="00674694"/>
    <w:rsid w:val="0067472B"/>
    <w:rsid w:val="00674B08"/>
    <w:rsid w:val="00674BFB"/>
    <w:rsid w:val="00674E6E"/>
    <w:rsid w:val="00675257"/>
    <w:rsid w:val="0067534C"/>
    <w:rsid w:val="00675366"/>
    <w:rsid w:val="00675838"/>
    <w:rsid w:val="00675859"/>
    <w:rsid w:val="00675A2A"/>
    <w:rsid w:val="00675B73"/>
    <w:rsid w:val="00675B91"/>
    <w:rsid w:val="00675E23"/>
    <w:rsid w:val="00676378"/>
    <w:rsid w:val="0067653A"/>
    <w:rsid w:val="00676667"/>
    <w:rsid w:val="006766DC"/>
    <w:rsid w:val="00676950"/>
    <w:rsid w:val="00676994"/>
    <w:rsid w:val="006769F4"/>
    <w:rsid w:val="00676AEC"/>
    <w:rsid w:val="00676AFA"/>
    <w:rsid w:val="00676B77"/>
    <w:rsid w:val="00676E62"/>
    <w:rsid w:val="00676F1A"/>
    <w:rsid w:val="0067723E"/>
    <w:rsid w:val="006772AD"/>
    <w:rsid w:val="006773E6"/>
    <w:rsid w:val="0067753A"/>
    <w:rsid w:val="006778DD"/>
    <w:rsid w:val="006778E9"/>
    <w:rsid w:val="0067792A"/>
    <w:rsid w:val="00677B77"/>
    <w:rsid w:val="00677D8A"/>
    <w:rsid w:val="006800A9"/>
    <w:rsid w:val="006800C1"/>
    <w:rsid w:val="00680406"/>
    <w:rsid w:val="00680529"/>
    <w:rsid w:val="00680665"/>
    <w:rsid w:val="0068076B"/>
    <w:rsid w:val="00680A3F"/>
    <w:rsid w:val="00680F5C"/>
    <w:rsid w:val="006810C9"/>
    <w:rsid w:val="00681167"/>
    <w:rsid w:val="0068116A"/>
    <w:rsid w:val="0068122D"/>
    <w:rsid w:val="00681886"/>
    <w:rsid w:val="00681C5E"/>
    <w:rsid w:val="00681CBC"/>
    <w:rsid w:val="00681CE6"/>
    <w:rsid w:val="00681D3E"/>
    <w:rsid w:val="00681D42"/>
    <w:rsid w:val="00681F0A"/>
    <w:rsid w:val="00681F1E"/>
    <w:rsid w:val="00681FEA"/>
    <w:rsid w:val="00682072"/>
    <w:rsid w:val="0068213E"/>
    <w:rsid w:val="006822F8"/>
    <w:rsid w:val="00682309"/>
    <w:rsid w:val="0068232D"/>
    <w:rsid w:val="006823A4"/>
    <w:rsid w:val="00682410"/>
    <w:rsid w:val="006824AE"/>
    <w:rsid w:val="006825D2"/>
    <w:rsid w:val="00682999"/>
    <w:rsid w:val="00682A35"/>
    <w:rsid w:val="00682BBC"/>
    <w:rsid w:val="00682DBC"/>
    <w:rsid w:val="006830EF"/>
    <w:rsid w:val="006833DA"/>
    <w:rsid w:val="00683481"/>
    <w:rsid w:val="00683903"/>
    <w:rsid w:val="00683947"/>
    <w:rsid w:val="00683950"/>
    <w:rsid w:val="00683A6A"/>
    <w:rsid w:val="00683D1B"/>
    <w:rsid w:val="00683D7E"/>
    <w:rsid w:val="00683F96"/>
    <w:rsid w:val="006844D9"/>
    <w:rsid w:val="0068454A"/>
    <w:rsid w:val="00684572"/>
    <w:rsid w:val="00684A3E"/>
    <w:rsid w:val="00684DC5"/>
    <w:rsid w:val="0068573D"/>
    <w:rsid w:val="00685806"/>
    <w:rsid w:val="00685814"/>
    <w:rsid w:val="0068590B"/>
    <w:rsid w:val="006859D3"/>
    <w:rsid w:val="00685B1B"/>
    <w:rsid w:val="006864F8"/>
    <w:rsid w:val="00686608"/>
    <w:rsid w:val="006866A4"/>
    <w:rsid w:val="006868F4"/>
    <w:rsid w:val="00686A2E"/>
    <w:rsid w:val="00686AAA"/>
    <w:rsid w:val="00686DA2"/>
    <w:rsid w:val="00686EC4"/>
    <w:rsid w:val="00686EC6"/>
    <w:rsid w:val="00686FDD"/>
    <w:rsid w:val="00687036"/>
    <w:rsid w:val="00687527"/>
    <w:rsid w:val="0068753B"/>
    <w:rsid w:val="0068775D"/>
    <w:rsid w:val="00687804"/>
    <w:rsid w:val="0068790A"/>
    <w:rsid w:val="00687BD7"/>
    <w:rsid w:val="00687DAB"/>
    <w:rsid w:val="00687E84"/>
    <w:rsid w:val="00687F6A"/>
    <w:rsid w:val="00687FC0"/>
    <w:rsid w:val="006900DA"/>
    <w:rsid w:val="006900E8"/>
    <w:rsid w:val="0069015C"/>
    <w:rsid w:val="006901FD"/>
    <w:rsid w:val="00690463"/>
    <w:rsid w:val="00690EB3"/>
    <w:rsid w:val="00690F1B"/>
    <w:rsid w:val="00690F50"/>
    <w:rsid w:val="00691083"/>
    <w:rsid w:val="00691650"/>
    <w:rsid w:val="006918CD"/>
    <w:rsid w:val="00691B38"/>
    <w:rsid w:val="00691C55"/>
    <w:rsid w:val="00692180"/>
    <w:rsid w:val="006925F7"/>
    <w:rsid w:val="0069264E"/>
    <w:rsid w:val="006926C0"/>
    <w:rsid w:val="006926EF"/>
    <w:rsid w:val="00692FDA"/>
    <w:rsid w:val="00692FF9"/>
    <w:rsid w:val="006930A2"/>
    <w:rsid w:val="00693191"/>
    <w:rsid w:val="006932CB"/>
    <w:rsid w:val="006936DE"/>
    <w:rsid w:val="006938CC"/>
    <w:rsid w:val="0069394E"/>
    <w:rsid w:val="00693EF7"/>
    <w:rsid w:val="006940A7"/>
    <w:rsid w:val="0069443A"/>
    <w:rsid w:val="006944FC"/>
    <w:rsid w:val="00694578"/>
    <w:rsid w:val="006947F2"/>
    <w:rsid w:val="0069491B"/>
    <w:rsid w:val="00694A6C"/>
    <w:rsid w:val="00694BA8"/>
    <w:rsid w:val="00694C70"/>
    <w:rsid w:val="00694CC2"/>
    <w:rsid w:val="00694F81"/>
    <w:rsid w:val="0069500B"/>
    <w:rsid w:val="0069502E"/>
    <w:rsid w:val="006953D5"/>
    <w:rsid w:val="00695431"/>
    <w:rsid w:val="006955EC"/>
    <w:rsid w:val="00695856"/>
    <w:rsid w:val="006958E8"/>
    <w:rsid w:val="00695AE3"/>
    <w:rsid w:val="00695BCB"/>
    <w:rsid w:val="00695CFD"/>
    <w:rsid w:val="00695D62"/>
    <w:rsid w:val="00695F06"/>
    <w:rsid w:val="00696053"/>
    <w:rsid w:val="00696251"/>
    <w:rsid w:val="0069625D"/>
    <w:rsid w:val="0069643A"/>
    <w:rsid w:val="006967CF"/>
    <w:rsid w:val="006969BA"/>
    <w:rsid w:val="00696A6E"/>
    <w:rsid w:val="00696ABF"/>
    <w:rsid w:val="00696C05"/>
    <w:rsid w:val="00696CD1"/>
    <w:rsid w:val="0069731D"/>
    <w:rsid w:val="0069733A"/>
    <w:rsid w:val="006973CA"/>
    <w:rsid w:val="0069744C"/>
    <w:rsid w:val="006974AC"/>
    <w:rsid w:val="00697505"/>
    <w:rsid w:val="0069761A"/>
    <w:rsid w:val="0069763D"/>
    <w:rsid w:val="00697707"/>
    <w:rsid w:val="0069784C"/>
    <w:rsid w:val="00697893"/>
    <w:rsid w:val="0069798F"/>
    <w:rsid w:val="006979A9"/>
    <w:rsid w:val="00697A2A"/>
    <w:rsid w:val="00697AE4"/>
    <w:rsid w:val="00697E41"/>
    <w:rsid w:val="00697F44"/>
    <w:rsid w:val="006A006F"/>
    <w:rsid w:val="006A0395"/>
    <w:rsid w:val="006A0655"/>
    <w:rsid w:val="006A06C1"/>
    <w:rsid w:val="006A085B"/>
    <w:rsid w:val="006A08FA"/>
    <w:rsid w:val="006A0A03"/>
    <w:rsid w:val="006A0B72"/>
    <w:rsid w:val="006A0C3F"/>
    <w:rsid w:val="006A0C41"/>
    <w:rsid w:val="006A0C51"/>
    <w:rsid w:val="006A0CC3"/>
    <w:rsid w:val="006A0F34"/>
    <w:rsid w:val="006A115D"/>
    <w:rsid w:val="006A133D"/>
    <w:rsid w:val="006A17D8"/>
    <w:rsid w:val="006A17DB"/>
    <w:rsid w:val="006A1896"/>
    <w:rsid w:val="006A19B5"/>
    <w:rsid w:val="006A1B35"/>
    <w:rsid w:val="006A1B91"/>
    <w:rsid w:val="006A1CB1"/>
    <w:rsid w:val="006A1FBB"/>
    <w:rsid w:val="006A1FFE"/>
    <w:rsid w:val="006A22D4"/>
    <w:rsid w:val="006A2390"/>
    <w:rsid w:val="006A24CB"/>
    <w:rsid w:val="006A253C"/>
    <w:rsid w:val="006A2591"/>
    <w:rsid w:val="006A25A7"/>
    <w:rsid w:val="006A277F"/>
    <w:rsid w:val="006A2D2E"/>
    <w:rsid w:val="006A2D7B"/>
    <w:rsid w:val="006A2F4A"/>
    <w:rsid w:val="006A2FC4"/>
    <w:rsid w:val="006A3129"/>
    <w:rsid w:val="006A32E4"/>
    <w:rsid w:val="006A3328"/>
    <w:rsid w:val="006A3470"/>
    <w:rsid w:val="006A34C8"/>
    <w:rsid w:val="006A3613"/>
    <w:rsid w:val="006A3762"/>
    <w:rsid w:val="006A37A1"/>
    <w:rsid w:val="006A38B7"/>
    <w:rsid w:val="006A3AFC"/>
    <w:rsid w:val="006A3BC1"/>
    <w:rsid w:val="006A3BD0"/>
    <w:rsid w:val="006A3D16"/>
    <w:rsid w:val="006A4223"/>
    <w:rsid w:val="006A44CE"/>
    <w:rsid w:val="006A453A"/>
    <w:rsid w:val="006A4551"/>
    <w:rsid w:val="006A456E"/>
    <w:rsid w:val="006A4A11"/>
    <w:rsid w:val="006A4B41"/>
    <w:rsid w:val="006A4C6E"/>
    <w:rsid w:val="006A507A"/>
    <w:rsid w:val="006A512D"/>
    <w:rsid w:val="006A5500"/>
    <w:rsid w:val="006A558E"/>
    <w:rsid w:val="006A584F"/>
    <w:rsid w:val="006A585F"/>
    <w:rsid w:val="006A586A"/>
    <w:rsid w:val="006A5A09"/>
    <w:rsid w:val="006A5D7B"/>
    <w:rsid w:val="006A5E93"/>
    <w:rsid w:val="006A6396"/>
    <w:rsid w:val="006A64FB"/>
    <w:rsid w:val="006A6506"/>
    <w:rsid w:val="006A6C03"/>
    <w:rsid w:val="006A6D72"/>
    <w:rsid w:val="006A6E2C"/>
    <w:rsid w:val="006A6E41"/>
    <w:rsid w:val="006A6F25"/>
    <w:rsid w:val="006A6F9E"/>
    <w:rsid w:val="006A717C"/>
    <w:rsid w:val="006A71B6"/>
    <w:rsid w:val="006A75EB"/>
    <w:rsid w:val="006A7748"/>
    <w:rsid w:val="006A7865"/>
    <w:rsid w:val="006A78E3"/>
    <w:rsid w:val="006A78E7"/>
    <w:rsid w:val="006A7902"/>
    <w:rsid w:val="006A7B64"/>
    <w:rsid w:val="006B0078"/>
    <w:rsid w:val="006B012B"/>
    <w:rsid w:val="006B0194"/>
    <w:rsid w:val="006B0338"/>
    <w:rsid w:val="006B0571"/>
    <w:rsid w:val="006B08BB"/>
    <w:rsid w:val="006B08BC"/>
    <w:rsid w:val="006B08FA"/>
    <w:rsid w:val="006B0DA3"/>
    <w:rsid w:val="006B0E72"/>
    <w:rsid w:val="006B0FDB"/>
    <w:rsid w:val="006B103B"/>
    <w:rsid w:val="006B1197"/>
    <w:rsid w:val="006B1307"/>
    <w:rsid w:val="006B17CF"/>
    <w:rsid w:val="006B187D"/>
    <w:rsid w:val="006B18D1"/>
    <w:rsid w:val="006B1C69"/>
    <w:rsid w:val="006B1DB4"/>
    <w:rsid w:val="006B1DE3"/>
    <w:rsid w:val="006B2037"/>
    <w:rsid w:val="006B204B"/>
    <w:rsid w:val="006B2144"/>
    <w:rsid w:val="006B2305"/>
    <w:rsid w:val="006B2446"/>
    <w:rsid w:val="006B2491"/>
    <w:rsid w:val="006B24FD"/>
    <w:rsid w:val="006B2696"/>
    <w:rsid w:val="006B27BE"/>
    <w:rsid w:val="006B29D6"/>
    <w:rsid w:val="006B2D16"/>
    <w:rsid w:val="006B2D48"/>
    <w:rsid w:val="006B2D8B"/>
    <w:rsid w:val="006B2E7F"/>
    <w:rsid w:val="006B30EF"/>
    <w:rsid w:val="006B3200"/>
    <w:rsid w:val="006B34F4"/>
    <w:rsid w:val="006B3551"/>
    <w:rsid w:val="006B35E4"/>
    <w:rsid w:val="006B37EA"/>
    <w:rsid w:val="006B382C"/>
    <w:rsid w:val="006B3A3B"/>
    <w:rsid w:val="006B3A96"/>
    <w:rsid w:val="006B3D43"/>
    <w:rsid w:val="006B406E"/>
    <w:rsid w:val="006B40C2"/>
    <w:rsid w:val="006B4513"/>
    <w:rsid w:val="006B46EE"/>
    <w:rsid w:val="006B48A5"/>
    <w:rsid w:val="006B4966"/>
    <w:rsid w:val="006B4D62"/>
    <w:rsid w:val="006B4E1B"/>
    <w:rsid w:val="006B506E"/>
    <w:rsid w:val="006B517D"/>
    <w:rsid w:val="006B521C"/>
    <w:rsid w:val="006B52F6"/>
    <w:rsid w:val="006B5558"/>
    <w:rsid w:val="006B583E"/>
    <w:rsid w:val="006B59CA"/>
    <w:rsid w:val="006B5AA1"/>
    <w:rsid w:val="006B5C2F"/>
    <w:rsid w:val="006B6325"/>
    <w:rsid w:val="006B632F"/>
    <w:rsid w:val="006B6D43"/>
    <w:rsid w:val="006B706F"/>
    <w:rsid w:val="006B7176"/>
    <w:rsid w:val="006B7254"/>
    <w:rsid w:val="006B7271"/>
    <w:rsid w:val="006B747C"/>
    <w:rsid w:val="006B74F1"/>
    <w:rsid w:val="006B752F"/>
    <w:rsid w:val="006B7580"/>
    <w:rsid w:val="006B7697"/>
    <w:rsid w:val="006B77DF"/>
    <w:rsid w:val="006B7961"/>
    <w:rsid w:val="006B7BAE"/>
    <w:rsid w:val="006B7D08"/>
    <w:rsid w:val="006C02B7"/>
    <w:rsid w:val="006C06F4"/>
    <w:rsid w:val="006C0719"/>
    <w:rsid w:val="006C0950"/>
    <w:rsid w:val="006C0988"/>
    <w:rsid w:val="006C09E0"/>
    <w:rsid w:val="006C0A46"/>
    <w:rsid w:val="006C0AD0"/>
    <w:rsid w:val="006C0C34"/>
    <w:rsid w:val="006C0CE1"/>
    <w:rsid w:val="006C1095"/>
    <w:rsid w:val="006C14F2"/>
    <w:rsid w:val="006C1570"/>
    <w:rsid w:val="006C15E1"/>
    <w:rsid w:val="006C1634"/>
    <w:rsid w:val="006C170F"/>
    <w:rsid w:val="006C1896"/>
    <w:rsid w:val="006C1A4C"/>
    <w:rsid w:val="006C1E25"/>
    <w:rsid w:val="006C1FAC"/>
    <w:rsid w:val="006C2085"/>
    <w:rsid w:val="006C219F"/>
    <w:rsid w:val="006C21CD"/>
    <w:rsid w:val="006C227F"/>
    <w:rsid w:val="006C24D0"/>
    <w:rsid w:val="006C2B68"/>
    <w:rsid w:val="006C2C63"/>
    <w:rsid w:val="006C2C74"/>
    <w:rsid w:val="006C2C84"/>
    <w:rsid w:val="006C2FAF"/>
    <w:rsid w:val="006C2FFC"/>
    <w:rsid w:val="006C302D"/>
    <w:rsid w:val="006C3376"/>
    <w:rsid w:val="006C33ED"/>
    <w:rsid w:val="006C3423"/>
    <w:rsid w:val="006C361F"/>
    <w:rsid w:val="006C36C2"/>
    <w:rsid w:val="006C36C4"/>
    <w:rsid w:val="006C3702"/>
    <w:rsid w:val="006C3844"/>
    <w:rsid w:val="006C38DC"/>
    <w:rsid w:val="006C3950"/>
    <w:rsid w:val="006C3BFA"/>
    <w:rsid w:val="006C40B2"/>
    <w:rsid w:val="006C418E"/>
    <w:rsid w:val="006C41FB"/>
    <w:rsid w:val="006C42EA"/>
    <w:rsid w:val="006C4376"/>
    <w:rsid w:val="006C4439"/>
    <w:rsid w:val="006C4604"/>
    <w:rsid w:val="006C46AC"/>
    <w:rsid w:val="006C46F6"/>
    <w:rsid w:val="006C47FF"/>
    <w:rsid w:val="006C48F1"/>
    <w:rsid w:val="006C4D68"/>
    <w:rsid w:val="006C4ED9"/>
    <w:rsid w:val="006C4F2A"/>
    <w:rsid w:val="006C4F74"/>
    <w:rsid w:val="006C50E4"/>
    <w:rsid w:val="006C5114"/>
    <w:rsid w:val="006C53BA"/>
    <w:rsid w:val="006C551C"/>
    <w:rsid w:val="006C55AF"/>
    <w:rsid w:val="006C55B9"/>
    <w:rsid w:val="006C55CB"/>
    <w:rsid w:val="006C586D"/>
    <w:rsid w:val="006C5BAA"/>
    <w:rsid w:val="006C5DFF"/>
    <w:rsid w:val="006C5E8E"/>
    <w:rsid w:val="006C5E92"/>
    <w:rsid w:val="006C5EE0"/>
    <w:rsid w:val="006C6494"/>
    <w:rsid w:val="006C669B"/>
    <w:rsid w:val="006C66EE"/>
    <w:rsid w:val="006C6943"/>
    <w:rsid w:val="006C69C4"/>
    <w:rsid w:val="006C6E21"/>
    <w:rsid w:val="006C6F14"/>
    <w:rsid w:val="006C6F8A"/>
    <w:rsid w:val="006C703C"/>
    <w:rsid w:val="006C70D9"/>
    <w:rsid w:val="006C7149"/>
    <w:rsid w:val="006C71E3"/>
    <w:rsid w:val="006C7432"/>
    <w:rsid w:val="006C7BA1"/>
    <w:rsid w:val="006C7BD8"/>
    <w:rsid w:val="006C7D1E"/>
    <w:rsid w:val="006C7D4A"/>
    <w:rsid w:val="006C7D94"/>
    <w:rsid w:val="006C7EB1"/>
    <w:rsid w:val="006C7EE5"/>
    <w:rsid w:val="006D0039"/>
    <w:rsid w:val="006D00AC"/>
    <w:rsid w:val="006D01C4"/>
    <w:rsid w:val="006D036C"/>
    <w:rsid w:val="006D045E"/>
    <w:rsid w:val="006D05E1"/>
    <w:rsid w:val="006D06AF"/>
    <w:rsid w:val="006D0B61"/>
    <w:rsid w:val="006D0C01"/>
    <w:rsid w:val="006D0F0E"/>
    <w:rsid w:val="006D10E4"/>
    <w:rsid w:val="006D10FC"/>
    <w:rsid w:val="006D1356"/>
    <w:rsid w:val="006D1381"/>
    <w:rsid w:val="006D14ED"/>
    <w:rsid w:val="006D1850"/>
    <w:rsid w:val="006D1AB7"/>
    <w:rsid w:val="006D1AF4"/>
    <w:rsid w:val="006D1C4D"/>
    <w:rsid w:val="006D2239"/>
    <w:rsid w:val="006D2394"/>
    <w:rsid w:val="006D267B"/>
    <w:rsid w:val="006D27EE"/>
    <w:rsid w:val="006D299C"/>
    <w:rsid w:val="006D2C23"/>
    <w:rsid w:val="006D2CBF"/>
    <w:rsid w:val="006D2CC7"/>
    <w:rsid w:val="006D2E59"/>
    <w:rsid w:val="006D2E6E"/>
    <w:rsid w:val="006D2E90"/>
    <w:rsid w:val="006D2F09"/>
    <w:rsid w:val="006D2F83"/>
    <w:rsid w:val="006D3115"/>
    <w:rsid w:val="006D325C"/>
    <w:rsid w:val="006D3281"/>
    <w:rsid w:val="006D353D"/>
    <w:rsid w:val="006D374F"/>
    <w:rsid w:val="006D39A7"/>
    <w:rsid w:val="006D3A14"/>
    <w:rsid w:val="006D3AB1"/>
    <w:rsid w:val="006D3B36"/>
    <w:rsid w:val="006D3B83"/>
    <w:rsid w:val="006D3DE5"/>
    <w:rsid w:val="006D44E7"/>
    <w:rsid w:val="006D45F2"/>
    <w:rsid w:val="006D466F"/>
    <w:rsid w:val="006D474C"/>
    <w:rsid w:val="006D47A8"/>
    <w:rsid w:val="006D48BE"/>
    <w:rsid w:val="006D4B3F"/>
    <w:rsid w:val="006D4CD7"/>
    <w:rsid w:val="006D4DF5"/>
    <w:rsid w:val="006D4FEE"/>
    <w:rsid w:val="006D508E"/>
    <w:rsid w:val="006D51D3"/>
    <w:rsid w:val="006D5377"/>
    <w:rsid w:val="006D5408"/>
    <w:rsid w:val="006D5779"/>
    <w:rsid w:val="006D5783"/>
    <w:rsid w:val="006D5978"/>
    <w:rsid w:val="006D6073"/>
    <w:rsid w:val="006D608C"/>
    <w:rsid w:val="006D6183"/>
    <w:rsid w:val="006D6187"/>
    <w:rsid w:val="006D639E"/>
    <w:rsid w:val="006D645B"/>
    <w:rsid w:val="006D65A2"/>
    <w:rsid w:val="006D662F"/>
    <w:rsid w:val="006D679B"/>
    <w:rsid w:val="006D68AE"/>
    <w:rsid w:val="006D68C7"/>
    <w:rsid w:val="006D6B77"/>
    <w:rsid w:val="006D6ECB"/>
    <w:rsid w:val="006D701D"/>
    <w:rsid w:val="006D71D2"/>
    <w:rsid w:val="006D7524"/>
    <w:rsid w:val="006D758A"/>
    <w:rsid w:val="006D775C"/>
    <w:rsid w:val="006D7782"/>
    <w:rsid w:val="006D77F3"/>
    <w:rsid w:val="006D7940"/>
    <w:rsid w:val="006D7AED"/>
    <w:rsid w:val="006D7B31"/>
    <w:rsid w:val="006D7BBD"/>
    <w:rsid w:val="006D7BF6"/>
    <w:rsid w:val="006D7E1C"/>
    <w:rsid w:val="006D7E40"/>
    <w:rsid w:val="006E02B3"/>
    <w:rsid w:val="006E02EF"/>
    <w:rsid w:val="006E03C0"/>
    <w:rsid w:val="006E0559"/>
    <w:rsid w:val="006E0855"/>
    <w:rsid w:val="006E090B"/>
    <w:rsid w:val="006E0A1D"/>
    <w:rsid w:val="006E0C67"/>
    <w:rsid w:val="006E0CA3"/>
    <w:rsid w:val="006E119A"/>
    <w:rsid w:val="006E1498"/>
    <w:rsid w:val="006E14D8"/>
    <w:rsid w:val="006E1696"/>
    <w:rsid w:val="006E17F2"/>
    <w:rsid w:val="006E18C8"/>
    <w:rsid w:val="006E196F"/>
    <w:rsid w:val="006E1BF0"/>
    <w:rsid w:val="006E1BFB"/>
    <w:rsid w:val="006E1BFF"/>
    <w:rsid w:val="006E1D49"/>
    <w:rsid w:val="006E2031"/>
    <w:rsid w:val="006E2047"/>
    <w:rsid w:val="006E2358"/>
    <w:rsid w:val="006E2432"/>
    <w:rsid w:val="006E24AF"/>
    <w:rsid w:val="006E2751"/>
    <w:rsid w:val="006E278C"/>
    <w:rsid w:val="006E2829"/>
    <w:rsid w:val="006E2A04"/>
    <w:rsid w:val="006E2A59"/>
    <w:rsid w:val="006E2B02"/>
    <w:rsid w:val="006E2F12"/>
    <w:rsid w:val="006E2F62"/>
    <w:rsid w:val="006E2F68"/>
    <w:rsid w:val="006E301D"/>
    <w:rsid w:val="006E3058"/>
    <w:rsid w:val="006E3174"/>
    <w:rsid w:val="006E3180"/>
    <w:rsid w:val="006E3284"/>
    <w:rsid w:val="006E32C0"/>
    <w:rsid w:val="006E33D8"/>
    <w:rsid w:val="006E3508"/>
    <w:rsid w:val="006E3537"/>
    <w:rsid w:val="006E3716"/>
    <w:rsid w:val="006E3883"/>
    <w:rsid w:val="006E39F0"/>
    <w:rsid w:val="006E3C59"/>
    <w:rsid w:val="006E3D16"/>
    <w:rsid w:val="006E3D35"/>
    <w:rsid w:val="006E3E44"/>
    <w:rsid w:val="006E3FE7"/>
    <w:rsid w:val="006E4012"/>
    <w:rsid w:val="006E432F"/>
    <w:rsid w:val="006E4351"/>
    <w:rsid w:val="006E448A"/>
    <w:rsid w:val="006E45F9"/>
    <w:rsid w:val="006E4633"/>
    <w:rsid w:val="006E4670"/>
    <w:rsid w:val="006E4C48"/>
    <w:rsid w:val="006E4D41"/>
    <w:rsid w:val="006E4DA7"/>
    <w:rsid w:val="006E4EEC"/>
    <w:rsid w:val="006E5086"/>
    <w:rsid w:val="006E52A7"/>
    <w:rsid w:val="006E534E"/>
    <w:rsid w:val="006E53B1"/>
    <w:rsid w:val="006E564F"/>
    <w:rsid w:val="006E5924"/>
    <w:rsid w:val="006E5B53"/>
    <w:rsid w:val="006E5E69"/>
    <w:rsid w:val="006E5F6D"/>
    <w:rsid w:val="006E61B6"/>
    <w:rsid w:val="006E6696"/>
    <w:rsid w:val="006E66CD"/>
    <w:rsid w:val="006E6703"/>
    <w:rsid w:val="006E6750"/>
    <w:rsid w:val="006E699F"/>
    <w:rsid w:val="006E6D53"/>
    <w:rsid w:val="006E6D56"/>
    <w:rsid w:val="006E6DDA"/>
    <w:rsid w:val="006E7161"/>
    <w:rsid w:val="006E73F5"/>
    <w:rsid w:val="006E7476"/>
    <w:rsid w:val="006E74E4"/>
    <w:rsid w:val="006E7721"/>
    <w:rsid w:val="006E78B3"/>
    <w:rsid w:val="006E7FAE"/>
    <w:rsid w:val="006E7FD4"/>
    <w:rsid w:val="006F000A"/>
    <w:rsid w:val="006F0039"/>
    <w:rsid w:val="006F0073"/>
    <w:rsid w:val="006F012C"/>
    <w:rsid w:val="006F04EF"/>
    <w:rsid w:val="006F0613"/>
    <w:rsid w:val="006F08D8"/>
    <w:rsid w:val="006F0A41"/>
    <w:rsid w:val="006F0ACD"/>
    <w:rsid w:val="006F0B7F"/>
    <w:rsid w:val="006F0BAF"/>
    <w:rsid w:val="006F0C41"/>
    <w:rsid w:val="006F0D38"/>
    <w:rsid w:val="006F0DD7"/>
    <w:rsid w:val="006F0DF9"/>
    <w:rsid w:val="006F11A4"/>
    <w:rsid w:val="006F1271"/>
    <w:rsid w:val="006F12B3"/>
    <w:rsid w:val="006F17B4"/>
    <w:rsid w:val="006F1B8E"/>
    <w:rsid w:val="006F20C2"/>
    <w:rsid w:val="006F225A"/>
    <w:rsid w:val="006F2337"/>
    <w:rsid w:val="006F2626"/>
    <w:rsid w:val="006F2648"/>
    <w:rsid w:val="006F2936"/>
    <w:rsid w:val="006F2C3A"/>
    <w:rsid w:val="006F2FCC"/>
    <w:rsid w:val="006F31C8"/>
    <w:rsid w:val="006F34CE"/>
    <w:rsid w:val="006F35D8"/>
    <w:rsid w:val="006F37E0"/>
    <w:rsid w:val="006F39FC"/>
    <w:rsid w:val="006F3D66"/>
    <w:rsid w:val="006F4030"/>
    <w:rsid w:val="006F4220"/>
    <w:rsid w:val="006F4478"/>
    <w:rsid w:val="006F4632"/>
    <w:rsid w:val="006F4967"/>
    <w:rsid w:val="006F4999"/>
    <w:rsid w:val="006F4AE8"/>
    <w:rsid w:val="006F4B9F"/>
    <w:rsid w:val="006F4D0B"/>
    <w:rsid w:val="006F4F03"/>
    <w:rsid w:val="006F508E"/>
    <w:rsid w:val="006F5322"/>
    <w:rsid w:val="006F54C0"/>
    <w:rsid w:val="006F5565"/>
    <w:rsid w:val="006F56A5"/>
    <w:rsid w:val="006F578F"/>
    <w:rsid w:val="006F5B01"/>
    <w:rsid w:val="006F5DA2"/>
    <w:rsid w:val="006F5EB0"/>
    <w:rsid w:val="006F5FBA"/>
    <w:rsid w:val="006F6033"/>
    <w:rsid w:val="006F6632"/>
    <w:rsid w:val="006F6706"/>
    <w:rsid w:val="006F6731"/>
    <w:rsid w:val="006F6858"/>
    <w:rsid w:val="006F6BE5"/>
    <w:rsid w:val="006F6BEC"/>
    <w:rsid w:val="006F6CB4"/>
    <w:rsid w:val="006F6F25"/>
    <w:rsid w:val="006F6FFC"/>
    <w:rsid w:val="006F7396"/>
    <w:rsid w:val="006F75C1"/>
    <w:rsid w:val="006F77D6"/>
    <w:rsid w:val="006F7809"/>
    <w:rsid w:val="006F7AF8"/>
    <w:rsid w:val="006F7CD5"/>
    <w:rsid w:val="006F7E46"/>
    <w:rsid w:val="006F7F88"/>
    <w:rsid w:val="00700253"/>
    <w:rsid w:val="007002D3"/>
    <w:rsid w:val="007003BF"/>
    <w:rsid w:val="0070048C"/>
    <w:rsid w:val="00700680"/>
    <w:rsid w:val="007009BA"/>
    <w:rsid w:val="00700BA1"/>
    <w:rsid w:val="00700C3C"/>
    <w:rsid w:val="00700D54"/>
    <w:rsid w:val="00700DE6"/>
    <w:rsid w:val="0070134A"/>
    <w:rsid w:val="0070134C"/>
    <w:rsid w:val="00701550"/>
    <w:rsid w:val="00701555"/>
    <w:rsid w:val="007017E6"/>
    <w:rsid w:val="00701926"/>
    <w:rsid w:val="00701AE4"/>
    <w:rsid w:val="00701C28"/>
    <w:rsid w:val="00701C53"/>
    <w:rsid w:val="00701D97"/>
    <w:rsid w:val="00701E0C"/>
    <w:rsid w:val="00702154"/>
    <w:rsid w:val="00702209"/>
    <w:rsid w:val="0070277F"/>
    <w:rsid w:val="00702975"/>
    <w:rsid w:val="00702CF3"/>
    <w:rsid w:val="00702DAD"/>
    <w:rsid w:val="00702E16"/>
    <w:rsid w:val="007030E9"/>
    <w:rsid w:val="007030EE"/>
    <w:rsid w:val="00703246"/>
    <w:rsid w:val="00703367"/>
    <w:rsid w:val="00703AD5"/>
    <w:rsid w:val="00703B0D"/>
    <w:rsid w:val="00703B5D"/>
    <w:rsid w:val="00703D77"/>
    <w:rsid w:val="00703E0F"/>
    <w:rsid w:val="00703E80"/>
    <w:rsid w:val="007040C9"/>
    <w:rsid w:val="00704293"/>
    <w:rsid w:val="007043C9"/>
    <w:rsid w:val="0070452C"/>
    <w:rsid w:val="0070474A"/>
    <w:rsid w:val="0070499D"/>
    <w:rsid w:val="007049C5"/>
    <w:rsid w:val="00704A1B"/>
    <w:rsid w:val="00704AED"/>
    <w:rsid w:val="00704C45"/>
    <w:rsid w:val="00704DEE"/>
    <w:rsid w:val="00705033"/>
    <w:rsid w:val="00705296"/>
    <w:rsid w:val="007056AE"/>
    <w:rsid w:val="00705B0C"/>
    <w:rsid w:val="00705C63"/>
    <w:rsid w:val="00705CE0"/>
    <w:rsid w:val="00705E69"/>
    <w:rsid w:val="00705E85"/>
    <w:rsid w:val="0070602A"/>
    <w:rsid w:val="007060EA"/>
    <w:rsid w:val="00706364"/>
    <w:rsid w:val="007065EC"/>
    <w:rsid w:val="0070660C"/>
    <w:rsid w:val="0070668C"/>
    <w:rsid w:val="00706788"/>
    <w:rsid w:val="00706ADE"/>
    <w:rsid w:val="00706B45"/>
    <w:rsid w:val="00706BAF"/>
    <w:rsid w:val="00707000"/>
    <w:rsid w:val="0070708C"/>
    <w:rsid w:val="00707163"/>
    <w:rsid w:val="007073C3"/>
    <w:rsid w:val="0070751C"/>
    <w:rsid w:val="00707641"/>
    <w:rsid w:val="00707677"/>
    <w:rsid w:val="00707841"/>
    <w:rsid w:val="00707845"/>
    <w:rsid w:val="007078D9"/>
    <w:rsid w:val="007078FE"/>
    <w:rsid w:val="00707B7E"/>
    <w:rsid w:val="00707D64"/>
    <w:rsid w:val="00707D88"/>
    <w:rsid w:val="007100CE"/>
    <w:rsid w:val="007100E7"/>
    <w:rsid w:val="00710258"/>
    <w:rsid w:val="00710383"/>
    <w:rsid w:val="00710384"/>
    <w:rsid w:val="0071051F"/>
    <w:rsid w:val="0071053C"/>
    <w:rsid w:val="0071071A"/>
    <w:rsid w:val="0071088E"/>
    <w:rsid w:val="007108A3"/>
    <w:rsid w:val="00710F20"/>
    <w:rsid w:val="00710FF6"/>
    <w:rsid w:val="0071112E"/>
    <w:rsid w:val="0071114E"/>
    <w:rsid w:val="00711630"/>
    <w:rsid w:val="0071166D"/>
    <w:rsid w:val="00711725"/>
    <w:rsid w:val="007118F9"/>
    <w:rsid w:val="007119C0"/>
    <w:rsid w:val="00711E22"/>
    <w:rsid w:val="00711EC1"/>
    <w:rsid w:val="00711ED4"/>
    <w:rsid w:val="007120BF"/>
    <w:rsid w:val="007120F0"/>
    <w:rsid w:val="00712351"/>
    <w:rsid w:val="0071237E"/>
    <w:rsid w:val="00712535"/>
    <w:rsid w:val="00712938"/>
    <w:rsid w:val="00712CB4"/>
    <w:rsid w:val="00712CBB"/>
    <w:rsid w:val="00712CDA"/>
    <w:rsid w:val="00713086"/>
    <w:rsid w:val="007131F3"/>
    <w:rsid w:val="00713AD6"/>
    <w:rsid w:val="00713BB1"/>
    <w:rsid w:val="00713BEE"/>
    <w:rsid w:val="00713C95"/>
    <w:rsid w:val="00713D29"/>
    <w:rsid w:val="00713EA7"/>
    <w:rsid w:val="00713FAA"/>
    <w:rsid w:val="007141AC"/>
    <w:rsid w:val="007141F4"/>
    <w:rsid w:val="00714487"/>
    <w:rsid w:val="007144AA"/>
    <w:rsid w:val="00714696"/>
    <w:rsid w:val="007146EC"/>
    <w:rsid w:val="00714812"/>
    <w:rsid w:val="00714875"/>
    <w:rsid w:val="007148E0"/>
    <w:rsid w:val="00714B9C"/>
    <w:rsid w:val="00714D5B"/>
    <w:rsid w:val="00714DF5"/>
    <w:rsid w:val="00714E8B"/>
    <w:rsid w:val="007151CF"/>
    <w:rsid w:val="00715338"/>
    <w:rsid w:val="0071549D"/>
    <w:rsid w:val="00715561"/>
    <w:rsid w:val="00715C2C"/>
    <w:rsid w:val="00715C96"/>
    <w:rsid w:val="00715E2A"/>
    <w:rsid w:val="00715FC3"/>
    <w:rsid w:val="00716067"/>
    <w:rsid w:val="007162B6"/>
    <w:rsid w:val="007162B8"/>
    <w:rsid w:val="007162F6"/>
    <w:rsid w:val="007163A6"/>
    <w:rsid w:val="00716435"/>
    <w:rsid w:val="00716498"/>
    <w:rsid w:val="00716721"/>
    <w:rsid w:val="00716728"/>
    <w:rsid w:val="007167B1"/>
    <w:rsid w:val="0071686B"/>
    <w:rsid w:val="00716924"/>
    <w:rsid w:val="0071695F"/>
    <w:rsid w:val="00716A28"/>
    <w:rsid w:val="00716D88"/>
    <w:rsid w:val="00716DAB"/>
    <w:rsid w:val="0071710D"/>
    <w:rsid w:val="0071759F"/>
    <w:rsid w:val="0071766E"/>
    <w:rsid w:val="00717BB0"/>
    <w:rsid w:val="00717BE1"/>
    <w:rsid w:val="00717C14"/>
    <w:rsid w:val="00717D1F"/>
    <w:rsid w:val="00717EDB"/>
    <w:rsid w:val="00717FA0"/>
    <w:rsid w:val="00720065"/>
    <w:rsid w:val="007200E2"/>
    <w:rsid w:val="0072025D"/>
    <w:rsid w:val="007202A7"/>
    <w:rsid w:val="007205C5"/>
    <w:rsid w:val="00720830"/>
    <w:rsid w:val="00720846"/>
    <w:rsid w:val="00720879"/>
    <w:rsid w:val="00720A33"/>
    <w:rsid w:val="00720BA9"/>
    <w:rsid w:val="00720C16"/>
    <w:rsid w:val="00720E6D"/>
    <w:rsid w:val="007212A2"/>
    <w:rsid w:val="007212A3"/>
    <w:rsid w:val="007212FB"/>
    <w:rsid w:val="007213A6"/>
    <w:rsid w:val="007218B9"/>
    <w:rsid w:val="00721C9C"/>
    <w:rsid w:val="00721D5A"/>
    <w:rsid w:val="00721E5C"/>
    <w:rsid w:val="00721EBF"/>
    <w:rsid w:val="007222C0"/>
    <w:rsid w:val="007224F9"/>
    <w:rsid w:val="00722682"/>
    <w:rsid w:val="007226DC"/>
    <w:rsid w:val="00722723"/>
    <w:rsid w:val="007227A5"/>
    <w:rsid w:val="007227EE"/>
    <w:rsid w:val="00722855"/>
    <w:rsid w:val="0072287C"/>
    <w:rsid w:val="00722ADC"/>
    <w:rsid w:val="00722BA7"/>
    <w:rsid w:val="00722DF6"/>
    <w:rsid w:val="00722E88"/>
    <w:rsid w:val="00722EBC"/>
    <w:rsid w:val="00722FD9"/>
    <w:rsid w:val="007231AD"/>
    <w:rsid w:val="007232EC"/>
    <w:rsid w:val="00723729"/>
    <w:rsid w:val="007239A9"/>
    <w:rsid w:val="00723B4D"/>
    <w:rsid w:val="00723D75"/>
    <w:rsid w:val="00723E08"/>
    <w:rsid w:val="00723FFD"/>
    <w:rsid w:val="00723FFE"/>
    <w:rsid w:val="0072412A"/>
    <w:rsid w:val="00724211"/>
    <w:rsid w:val="00724273"/>
    <w:rsid w:val="00724782"/>
    <w:rsid w:val="0072479C"/>
    <w:rsid w:val="00724D6C"/>
    <w:rsid w:val="00724EBE"/>
    <w:rsid w:val="00725068"/>
    <w:rsid w:val="00725071"/>
    <w:rsid w:val="007250DC"/>
    <w:rsid w:val="007253E8"/>
    <w:rsid w:val="00725437"/>
    <w:rsid w:val="00725533"/>
    <w:rsid w:val="007257C3"/>
    <w:rsid w:val="00725A0A"/>
    <w:rsid w:val="00725BF4"/>
    <w:rsid w:val="00726012"/>
    <w:rsid w:val="007262EF"/>
    <w:rsid w:val="007262F8"/>
    <w:rsid w:val="00726527"/>
    <w:rsid w:val="0072654A"/>
    <w:rsid w:val="00726B4D"/>
    <w:rsid w:val="00726D14"/>
    <w:rsid w:val="00726E67"/>
    <w:rsid w:val="00727196"/>
    <w:rsid w:val="007273B4"/>
    <w:rsid w:val="00727533"/>
    <w:rsid w:val="0072762B"/>
    <w:rsid w:val="0072783E"/>
    <w:rsid w:val="007278FA"/>
    <w:rsid w:val="00727A40"/>
    <w:rsid w:val="00727BC3"/>
    <w:rsid w:val="00727D5B"/>
    <w:rsid w:val="00727DA9"/>
    <w:rsid w:val="007301F5"/>
    <w:rsid w:val="0073039F"/>
    <w:rsid w:val="00730799"/>
    <w:rsid w:val="007307D7"/>
    <w:rsid w:val="007307FE"/>
    <w:rsid w:val="00730826"/>
    <w:rsid w:val="00730953"/>
    <w:rsid w:val="00730B64"/>
    <w:rsid w:val="00730C8F"/>
    <w:rsid w:val="00730E35"/>
    <w:rsid w:val="00730F26"/>
    <w:rsid w:val="00731264"/>
    <w:rsid w:val="00731646"/>
    <w:rsid w:val="007316F0"/>
    <w:rsid w:val="0073184D"/>
    <w:rsid w:val="00731AC1"/>
    <w:rsid w:val="00731AD6"/>
    <w:rsid w:val="00731AE4"/>
    <w:rsid w:val="00731DCE"/>
    <w:rsid w:val="007321E8"/>
    <w:rsid w:val="0073226E"/>
    <w:rsid w:val="007322FA"/>
    <w:rsid w:val="007324BB"/>
    <w:rsid w:val="00732604"/>
    <w:rsid w:val="007326C7"/>
    <w:rsid w:val="0073272C"/>
    <w:rsid w:val="0073279C"/>
    <w:rsid w:val="00732AD3"/>
    <w:rsid w:val="00732F0C"/>
    <w:rsid w:val="007333B5"/>
    <w:rsid w:val="0073343C"/>
    <w:rsid w:val="00733996"/>
    <w:rsid w:val="00733E5D"/>
    <w:rsid w:val="00733EF6"/>
    <w:rsid w:val="00734213"/>
    <w:rsid w:val="00734464"/>
    <w:rsid w:val="0073454C"/>
    <w:rsid w:val="00734908"/>
    <w:rsid w:val="00734A00"/>
    <w:rsid w:val="00734A92"/>
    <w:rsid w:val="00734BE4"/>
    <w:rsid w:val="00734C9B"/>
    <w:rsid w:val="00734E80"/>
    <w:rsid w:val="00734F3F"/>
    <w:rsid w:val="00734FC6"/>
    <w:rsid w:val="007351DB"/>
    <w:rsid w:val="007352A3"/>
    <w:rsid w:val="0073540B"/>
    <w:rsid w:val="0073555C"/>
    <w:rsid w:val="007355CF"/>
    <w:rsid w:val="0073569B"/>
    <w:rsid w:val="00735700"/>
    <w:rsid w:val="00735723"/>
    <w:rsid w:val="007357BE"/>
    <w:rsid w:val="00735986"/>
    <w:rsid w:val="00735A78"/>
    <w:rsid w:val="00735CA2"/>
    <w:rsid w:val="00735D6A"/>
    <w:rsid w:val="00735F0A"/>
    <w:rsid w:val="00736033"/>
    <w:rsid w:val="0073649A"/>
    <w:rsid w:val="0073654F"/>
    <w:rsid w:val="00736587"/>
    <w:rsid w:val="00736EB8"/>
    <w:rsid w:val="00737157"/>
    <w:rsid w:val="007373C2"/>
    <w:rsid w:val="007373E1"/>
    <w:rsid w:val="0073759C"/>
    <w:rsid w:val="0073780B"/>
    <w:rsid w:val="00737823"/>
    <w:rsid w:val="00737933"/>
    <w:rsid w:val="00737952"/>
    <w:rsid w:val="00737B02"/>
    <w:rsid w:val="00737B76"/>
    <w:rsid w:val="00737BDD"/>
    <w:rsid w:val="00737DF8"/>
    <w:rsid w:val="00737ECA"/>
    <w:rsid w:val="00740151"/>
    <w:rsid w:val="00740263"/>
    <w:rsid w:val="00740782"/>
    <w:rsid w:val="0074088A"/>
    <w:rsid w:val="00740937"/>
    <w:rsid w:val="007409F6"/>
    <w:rsid w:val="00740A0E"/>
    <w:rsid w:val="00740A91"/>
    <w:rsid w:val="00740AE0"/>
    <w:rsid w:val="007411F8"/>
    <w:rsid w:val="007412CC"/>
    <w:rsid w:val="007413D3"/>
    <w:rsid w:val="007413DE"/>
    <w:rsid w:val="007413FE"/>
    <w:rsid w:val="0074141A"/>
    <w:rsid w:val="007416ED"/>
    <w:rsid w:val="0074176E"/>
    <w:rsid w:val="007417D8"/>
    <w:rsid w:val="00741C19"/>
    <w:rsid w:val="00741E4B"/>
    <w:rsid w:val="00741F2D"/>
    <w:rsid w:val="0074219C"/>
    <w:rsid w:val="0074241C"/>
    <w:rsid w:val="00742538"/>
    <w:rsid w:val="00742545"/>
    <w:rsid w:val="00742608"/>
    <w:rsid w:val="00742621"/>
    <w:rsid w:val="00742956"/>
    <w:rsid w:val="00742A9D"/>
    <w:rsid w:val="00742F14"/>
    <w:rsid w:val="0074319D"/>
    <w:rsid w:val="007432C8"/>
    <w:rsid w:val="007434D4"/>
    <w:rsid w:val="007434EE"/>
    <w:rsid w:val="0074350A"/>
    <w:rsid w:val="00743648"/>
    <w:rsid w:val="00743A5B"/>
    <w:rsid w:val="00743B0D"/>
    <w:rsid w:val="00743C0A"/>
    <w:rsid w:val="00743C5E"/>
    <w:rsid w:val="007441D7"/>
    <w:rsid w:val="00744218"/>
    <w:rsid w:val="007442DE"/>
    <w:rsid w:val="00744310"/>
    <w:rsid w:val="00744550"/>
    <w:rsid w:val="007445BC"/>
    <w:rsid w:val="007445CE"/>
    <w:rsid w:val="00744757"/>
    <w:rsid w:val="00744778"/>
    <w:rsid w:val="00744838"/>
    <w:rsid w:val="00744967"/>
    <w:rsid w:val="00744B7E"/>
    <w:rsid w:val="0074519F"/>
    <w:rsid w:val="0074558B"/>
    <w:rsid w:val="007457F7"/>
    <w:rsid w:val="00745970"/>
    <w:rsid w:val="00745A82"/>
    <w:rsid w:val="00745BC6"/>
    <w:rsid w:val="00745CEE"/>
    <w:rsid w:val="00745DB8"/>
    <w:rsid w:val="00745F6A"/>
    <w:rsid w:val="007463F8"/>
    <w:rsid w:val="00746845"/>
    <w:rsid w:val="00746869"/>
    <w:rsid w:val="007469B6"/>
    <w:rsid w:val="00746D37"/>
    <w:rsid w:val="00746E0D"/>
    <w:rsid w:val="00746F1C"/>
    <w:rsid w:val="00746FA1"/>
    <w:rsid w:val="00747095"/>
    <w:rsid w:val="00747291"/>
    <w:rsid w:val="00747434"/>
    <w:rsid w:val="007474DB"/>
    <w:rsid w:val="00747578"/>
    <w:rsid w:val="0074767B"/>
    <w:rsid w:val="007478E6"/>
    <w:rsid w:val="00747922"/>
    <w:rsid w:val="0074797F"/>
    <w:rsid w:val="00747BD9"/>
    <w:rsid w:val="00747DFB"/>
    <w:rsid w:val="00747E2C"/>
    <w:rsid w:val="00747F45"/>
    <w:rsid w:val="007500B1"/>
    <w:rsid w:val="00750115"/>
    <w:rsid w:val="007501C7"/>
    <w:rsid w:val="007503C9"/>
    <w:rsid w:val="007504EA"/>
    <w:rsid w:val="007505AE"/>
    <w:rsid w:val="007506AE"/>
    <w:rsid w:val="007506BE"/>
    <w:rsid w:val="007507D5"/>
    <w:rsid w:val="007508FF"/>
    <w:rsid w:val="007509BB"/>
    <w:rsid w:val="00750A16"/>
    <w:rsid w:val="00750B06"/>
    <w:rsid w:val="00750B13"/>
    <w:rsid w:val="00751044"/>
    <w:rsid w:val="00751111"/>
    <w:rsid w:val="007512F7"/>
    <w:rsid w:val="00751522"/>
    <w:rsid w:val="00751579"/>
    <w:rsid w:val="00751623"/>
    <w:rsid w:val="00751843"/>
    <w:rsid w:val="00751B1C"/>
    <w:rsid w:val="00751D2B"/>
    <w:rsid w:val="00751D51"/>
    <w:rsid w:val="00751E7B"/>
    <w:rsid w:val="00751EF0"/>
    <w:rsid w:val="00751F5F"/>
    <w:rsid w:val="00751F7C"/>
    <w:rsid w:val="00751FD1"/>
    <w:rsid w:val="0075220F"/>
    <w:rsid w:val="0075223D"/>
    <w:rsid w:val="00752784"/>
    <w:rsid w:val="00752BB9"/>
    <w:rsid w:val="00752BDD"/>
    <w:rsid w:val="00752CAD"/>
    <w:rsid w:val="00752FCB"/>
    <w:rsid w:val="00753194"/>
    <w:rsid w:val="007532E4"/>
    <w:rsid w:val="007532FE"/>
    <w:rsid w:val="0075378D"/>
    <w:rsid w:val="007537E3"/>
    <w:rsid w:val="00753833"/>
    <w:rsid w:val="00753892"/>
    <w:rsid w:val="007538F9"/>
    <w:rsid w:val="0075399E"/>
    <w:rsid w:val="00753CCB"/>
    <w:rsid w:val="00753EE5"/>
    <w:rsid w:val="00753EEF"/>
    <w:rsid w:val="00754026"/>
    <w:rsid w:val="007540AE"/>
    <w:rsid w:val="007540F2"/>
    <w:rsid w:val="007541F4"/>
    <w:rsid w:val="007545C5"/>
    <w:rsid w:val="007545EC"/>
    <w:rsid w:val="00754AC0"/>
    <w:rsid w:val="00754B6B"/>
    <w:rsid w:val="00754BB7"/>
    <w:rsid w:val="00754DF8"/>
    <w:rsid w:val="00754DFA"/>
    <w:rsid w:val="00754F15"/>
    <w:rsid w:val="007553FD"/>
    <w:rsid w:val="007556A4"/>
    <w:rsid w:val="00755731"/>
    <w:rsid w:val="007557C0"/>
    <w:rsid w:val="007559F5"/>
    <w:rsid w:val="00755A9C"/>
    <w:rsid w:val="00755D29"/>
    <w:rsid w:val="00755E3F"/>
    <w:rsid w:val="00755ECD"/>
    <w:rsid w:val="00755FA4"/>
    <w:rsid w:val="0075632F"/>
    <w:rsid w:val="00756A70"/>
    <w:rsid w:val="00756A92"/>
    <w:rsid w:val="00756AC8"/>
    <w:rsid w:val="00756BB0"/>
    <w:rsid w:val="00756C1F"/>
    <w:rsid w:val="00756D02"/>
    <w:rsid w:val="00756DF1"/>
    <w:rsid w:val="00757385"/>
    <w:rsid w:val="007573A3"/>
    <w:rsid w:val="00757488"/>
    <w:rsid w:val="007575E8"/>
    <w:rsid w:val="00757655"/>
    <w:rsid w:val="00757661"/>
    <w:rsid w:val="00757971"/>
    <w:rsid w:val="00757984"/>
    <w:rsid w:val="00757A3D"/>
    <w:rsid w:val="00757BC8"/>
    <w:rsid w:val="00757CAE"/>
    <w:rsid w:val="0076009C"/>
    <w:rsid w:val="007600DA"/>
    <w:rsid w:val="00760101"/>
    <w:rsid w:val="007602FB"/>
    <w:rsid w:val="00760564"/>
    <w:rsid w:val="0076083E"/>
    <w:rsid w:val="0076090C"/>
    <w:rsid w:val="00760B0C"/>
    <w:rsid w:val="00760B57"/>
    <w:rsid w:val="00761270"/>
    <w:rsid w:val="0076127D"/>
    <w:rsid w:val="007616FD"/>
    <w:rsid w:val="00761706"/>
    <w:rsid w:val="00761F25"/>
    <w:rsid w:val="00761F90"/>
    <w:rsid w:val="00761FD6"/>
    <w:rsid w:val="0076208B"/>
    <w:rsid w:val="00762365"/>
    <w:rsid w:val="007625B7"/>
    <w:rsid w:val="0076262B"/>
    <w:rsid w:val="007627AE"/>
    <w:rsid w:val="007628FE"/>
    <w:rsid w:val="00762937"/>
    <w:rsid w:val="00762C8A"/>
    <w:rsid w:val="00762CF1"/>
    <w:rsid w:val="00762D0A"/>
    <w:rsid w:val="00762F41"/>
    <w:rsid w:val="00762FA2"/>
    <w:rsid w:val="0076300D"/>
    <w:rsid w:val="00763086"/>
    <w:rsid w:val="0076359D"/>
    <w:rsid w:val="00763787"/>
    <w:rsid w:val="0076383D"/>
    <w:rsid w:val="007639F7"/>
    <w:rsid w:val="00763A25"/>
    <w:rsid w:val="00763CB0"/>
    <w:rsid w:val="0076407B"/>
    <w:rsid w:val="00764083"/>
    <w:rsid w:val="00764091"/>
    <w:rsid w:val="0076478A"/>
    <w:rsid w:val="00764AF0"/>
    <w:rsid w:val="00764B30"/>
    <w:rsid w:val="00765128"/>
    <w:rsid w:val="00765151"/>
    <w:rsid w:val="00765408"/>
    <w:rsid w:val="00765731"/>
    <w:rsid w:val="0076595E"/>
    <w:rsid w:val="00765A4E"/>
    <w:rsid w:val="00765A9A"/>
    <w:rsid w:val="00765D65"/>
    <w:rsid w:val="0076647E"/>
    <w:rsid w:val="00766504"/>
    <w:rsid w:val="0076662E"/>
    <w:rsid w:val="0076678A"/>
    <w:rsid w:val="007667E1"/>
    <w:rsid w:val="00766A83"/>
    <w:rsid w:val="00766B2F"/>
    <w:rsid w:val="00766BC7"/>
    <w:rsid w:val="00766C9B"/>
    <w:rsid w:val="00766ED4"/>
    <w:rsid w:val="007670D9"/>
    <w:rsid w:val="00767139"/>
    <w:rsid w:val="007671E5"/>
    <w:rsid w:val="00767739"/>
    <w:rsid w:val="00767977"/>
    <w:rsid w:val="00767CA4"/>
    <w:rsid w:val="007705CB"/>
    <w:rsid w:val="007707A4"/>
    <w:rsid w:val="007709C5"/>
    <w:rsid w:val="00770C03"/>
    <w:rsid w:val="00770C5B"/>
    <w:rsid w:val="00770D72"/>
    <w:rsid w:val="00770EA9"/>
    <w:rsid w:val="00770F58"/>
    <w:rsid w:val="00770FE6"/>
    <w:rsid w:val="00771106"/>
    <w:rsid w:val="007711A5"/>
    <w:rsid w:val="007712FB"/>
    <w:rsid w:val="0077132E"/>
    <w:rsid w:val="00771696"/>
    <w:rsid w:val="00771A54"/>
    <w:rsid w:val="00771A5A"/>
    <w:rsid w:val="00771C26"/>
    <w:rsid w:val="00771DD2"/>
    <w:rsid w:val="00771F03"/>
    <w:rsid w:val="0077214B"/>
    <w:rsid w:val="00772176"/>
    <w:rsid w:val="007724DD"/>
    <w:rsid w:val="007729A8"/>
    <w:rsid w:val="007729ED"/>
    <w:rsid w:val="00772A11"/>
    <w:rsid w:val="00772A52"/>
    <w:rsid w:val="00772ECA"/>
    <w:rsid w:val="00772FF3"/>
    <w:rsid w:val="007730E2"/>
    <w:rsid w:val="00773310"/>
    <w:rsid w:val="007734EE"/>
    <w:rsid w:val="007735BF"/>
    <w:rsid w:val="0077385C"/>
    <w:rsid w:val="00773CFC"/>
    <w:rsid w:val="00773D17"/>
    <w:rsid w:val="00773F28"/>
    <w:rsid w:val="0077405E"/>
    <w:rsid w:val="00774572"/>
    <w:rsid w:val="00774667"/>
    <w:rsid w:val="007746A4"/>
    <w:rsid w:val="007749CD"/>
    <w:rsid w:val="007749DA"/>
    <w:rsid w:val="00774BFA"/>
    <w:rsid w:val="00774D21"/>
    <w:rsid w:val="00774FE5"/>
    <w:rsid w:val="007750C8"/>
    <w:rsid w:val="007750CA"/>
    <w:rsid w:val="007750FF"/>
    <w:rsid w:val="0077513C"/>
    <w:rsid w:val="007758CB"/>
    <w:rsid w:val="00775AC5"/>
    <w:rsid w:val="00775BE9"/>
    <w:rsid w:val="00775D26"/>
    <w:rsid w:val="00775D33"/>
    <w:rsid w:val="00775DF4"/>
    <w:rsid w:val="007761BA"/>
    <w:rsid w:val="007765B3"/>
    <w:rsid w:val="00776691"/>
    <w:rsid w:val="007766BC"/>
    <w:rsid w:val="007767A7"/>
    <w:rsid w:val="00776A06"/>
    <w:rsid w:val="00776B38"/>
    <w:rsid w:val="0077705E"/>
    <w:rsid w:val="00777206"/>
    <w:rsid w:val="007774F0"/>
    <w:rsid w:val="007776A1"/>
    <w:rsid w:val="00777998"/>
    <w:rsid w:val="00777BF7"/>
    <w:rsid w:val="00777CEC"/>
    <w:rsid w:val="00777E62"/>
    <w:rsid w:val="00777FE7"/>
    <w:rsid w:val="007800C0"/>
    <w:rsid w:val="00780101"/>
    <w:rsid w:val="007801E2"/>
    <w:rsid w:val="007802E0"/>
    <w:rsid w:val="00780366"/>
    <w:rsid w:val="007803A4"/>
    <w:rsid w:val="00780523"/>
    <w:rsid w:val="00780621"/>
    <w:rsid w:val="00780842"/>
    <w:rsid w:val="007809B8"/>
    <w:rsid w:val="00780C14"/>
    <w:rsid w:val="00780C54"/>
    <w:rsid w:val="00781162"/>
    <w:rsid w:val="00781230"/>
    <w:rsid w:val="0078192A"/>
    <w:rsid w:val="007819DA"/>
    <w:rsid w:val="00781BD4"/>
    <w:rsid w:val="00781D35"/>
    <w:rsid w:val="007820E6"/>
    <w:rsid w:val="00782377"/>
    <w:rsid w:val="00782393"/>
    <w:rsid w:val="00782BF3"/>
    <w:rsid w:val="00782EB8"/>
    <w:rsid w:val="00782EDA"/>
    <w:rsid w:val="00782F51"/>
    <w:rsid w:val="00782F53"/>
    <w:rsid w:val="0078339D"/>
    <w:rsid w:val="0078356A"/>
    <w:rsid w:val="007835CE"/>
    <w:rsid w:val="00783653"/>
    <w:rsid w:val="007836E4"/>
    <w:rsid w:val="007836FA"/>
    <w:rsid w:val="007837C4"/>
    <w:rsid w:val="00783AC4"/>
    <w:rsid w:val="00783B55"/>
    <w:rsid w:val="00783CD8"/>
    <w:rsid w:val="00783D2D"/>
    <w:rsid w:val="00783D43"/>
    <w:rsid w:val="00783FF3"/>
    <w:rsid w:val="0078412E"/>
    <w:rsid w:val="007843E1"/>
    <w:rsid w:val="0078456B"/>
    <w:rsid w:val="00784815"/>
    <w:rsid w:val="00784854"/>
    <w:rsid w:val="00784A0F"/>
    <w:rsid w:val="00784C64"/>
    <w:rsid w:val="00784E59"/>
    <w:rsid w:val="00784EF8"/>
    <w:rsid w:val="00784F54"/>
    <w:rsid w:val="00785002"/>
    <w:rsid w:val="00785206"/>
    <w:rsid w:val="0078522A"/>
    <w:rsid w:val="00785242"/>
    <w:rsid w:val="007852DE"/>
    <w:rsid w:val="00785418"/>
    <w:rsid w:val="00785430"/>
    <w:rsid w:val="00785450"/>
    <w:rsid w:val="007854AA"/>
    <w:rsid w:val="00785849"/>
    <w:rsid w:val="00785EF2"/>
    <w:rsid w:val="00785FBB"/>
    <w:rsid w:val="007860BB"/>
    <w:rsid w:val="007862A9"/>
    <w:rsid w:val="00786396"/>
    <w:rsid w:val="00786440"/>
    <w:rsid w:val="007864D3"/>
    <w:rsid w:val="00786536"/>
    <w:rsid w:val="00786544"/>
    <w:rsid w:val="00786838"/>
    <w:rsid w:val="00786868"/>
    <w:rsid w:val="00786B32"/>
    <w:rsid w:val="00786B77"/>
    <w:rsid w:val="00786BF1"/>
    <w:rsid w:val="00786EFC"/>
    <w:rsid w:val="00786F58"/>
    <w:rsid w:val="007871EC"/>
    <w:rsid w:val="0078767E"/>
    <w:rsid w:val="007877B3"/>
    <w:rsid w:val="00787B51"/>
    <w:rsid w:val="00787D30"/>
    <w:rsid w:val="00787D73"/>
    <w:rsid w:val="00787D76"/>
    <w:rsid w:val="00787DC9"/>
    <w:rsid w:val="00787F76"/>
    <w:rsid w:val="00790043"/>
    <w:rsid w:val="007901AE"/>
    <w:rsid w:val="00790435"/>
    <w:rsid w:val="0079057E"/>
    <w:rsid w:val="007907D3"/>
    <w:rsid w:val="00790942"/>
    <w:rsid w:val="00790A1C"/>
    <w:rsid w:val="00790C09"/>
    <w:rsid w:val="00790D80"/>
    <w:rsid w:val="00790D86"/>
    <w:rsid w:val="00790EE7"/>
    <w:rsid w:val="00791156"/>
    <w:rsid w:val="00791322"/>
    <w:rsid w:val="007914B4"/>
    <w:rsid w:val="007916E2"/>
    <w:rsid w:val="00791BFB"/>
    <w:rsid w:val="00791C63"/>
    <w:rsid w:val="00791DF0"/>
    <w:rsid w:val="00791E21"/>
    <w:rsid w:val="00791E4F"/>
    <w:rsid w:val="00791F51"/>
    <w:rsid w:val="00791FAB"/>
    <w:rsid w:val="00792197"/>
    <w:rsid w:val="007928C9"/>
    <w:rsid w:val="0079298B"/>
    <w:rsid w:val="007929C0"/>
    <w:rsid w:val="00792C7A"/>
    <w:rsid w:val="0079319C"/>
    <w:rsid w:val="00793256"/>
    <w:rsid w:val="007935C5"/>
    <w:rsid w:val="007935D4"/>
    <w:rsid w:val="00793747"/>
    <w:rsid w:val="007937A2"/>
    <w:rsid w:val="007939EE"/>
    <w:rsid w:val="00793B33"/>
    <w:rsid w:val="00793CE1"/>
    <w:rsid w:val="00793D7A"/>
    <w:rsid w:val="00793DCF"/>
    <w:rsid w:val="00793E26"/>
    <w:rsid w:val="007944B6"/>
    <w:rsid w:val="007946C3"/>
    <w:rsid w:val="00794A5C"/>
    <w:rsid w:val="00794B50"/>
    <w:rsid w:val="00794B68"/>
    <w:rsid w:val="00794CD5"/>
    <w:rsid w:val="00794FA1"/>
    <w:rsid w:val="00794FB0"/>
    <w:rsid w:val="0079500F"/>
    <w:rsid w:val="00795190"/>
    <w:rsid w:val="00795355"/>
    <w:rsid w:val="0079538A"/>
    <w:rsid w:val="007954FB"/>
    <w:rsid w:val="0079568B"/>
    <w:rsid w:val="007959A5"/>
    <w:rsid w:val="00795A5C"/>
    <w:rsid w:val="00795A8D"/>
    <w:rsid w:val="00795D9D"/>
    <w:rsid w:val="00795F1D"/>
    <w:rsid w:val="0079605A"/>
    <w:rsid w:val="00796066"/>
    <w:rsid w:val="007961C7"/>
    <w:rsid w:val="0079659C"/>
    <w:rsid w:val="00796681"/>
    <w:rsid w:val="00796931"/>
    <w:rsid w:val="00796CA6"/>
    <w:rsid w:val="00796D70"/>
    <w:rsid w:val="00796E27"/>
    <w:rsid w:val="00797044"/>
    <w:rsid w:val="007970BA"/>
    <w:rsid w:val="00797104"/>
    <w:rsid w:val="00797285"/>
    <w:rsid w:val="007973FE"/>
    <w:rsid w:val="007978C8"/>
    <w:rsid w:val="00797976"/>
    <w:rsid w:val="00797CD1"/>
    <w:rsid w:val="00797FCF"/>
    <w:rsid w:val="007A03AE"/>
    <w:rsid w:val="007A043B"/>
    <w:rsid w:val="007A04E3"/>
    <w:rsid w:val="007A04FF"/>
    <w:rsid w:val="007A0681"/>
    <w:rsid w:val="007A0770"/>
    <w:rsid w:val="007A0F45"/>
    <w:rsid w:val="007A171D"/>
    <w:rsid w:val="007A1732"/>
    <w:rsid w:val="007A1794"/>
    <w:rsid w:val="007A185E"/>
    <w:rsid w:val="007A193B"/>
    <w:rsid w:val="007A1A3D"/>
    <w:rsid w:val="007A1A58"/>
    <w:rsid w:val="007A1A96"/>
    <w:rsid w:val="007A1C1B"/>
    <w:rsid w:val="007A2020"/>
    <w:rsid w:val="007A2026"/>
    <w:rsid w:val="007A2138"/>
    <w:rsid w:val="007A21EB"/>
    <w:rsid w:val="007A223A"/>
    <w:rsid w:val="007A24A1"/>
    <w:rsid w:val="007A24D4"/>
    <w:rsid w:val="007A26BC"/>
    <w:rsid w:val="007A26BF"/>
    <w:rsid w:val="007A29DD"/>
    <w:rsid w:val="007A2A41"/>
    <w:rsid w:val="007A2BFC"/>
    <w:rsid w:val="007A2C60"/>
    <w:rsid w:val="007A2D0B"/>
    <w:rsid w:val="007A2ECA"/>
    <w:rsid w:val="007A2F81"/>
    <w:rsid w:val="007A314F"/>
    <w:rsid w:val="007A319A"/>
    <w:rsid w:val="007A31D6"/>
    <w:rsid w:val="007A35C2"/>
    <w:rsid w:val="007A38A5"/>
    <w:rsid w:val="007A3A19"/>
    <w:rsid w:val="007A3A1C"/>
    <w:rsid w:val="007A3A77"/>
    <w:rsid w:val="007A3A9B"/>
    <w:rsid w:val="007A3B9A"/>
    <w:rsid w:val="007A3BC9"/>
    <w:rsid w:val="007A3BF1"/>
    <w:rsid w:val="007A3E17"/>
    <w:rsid w:val="007A3E1A"/>
    <w:rsid w:val="007A464C"/>
    <w:rsid w:val="007A4685"/>
    <w:rsid w:val="007A46BB"/>
    <w:rsid w:val="007A497B"/>
    <w:rsid w:val="007A4A67"/>
    <w:rsid w:val="007A4AA8"/>
    <w:rsid w:val="007A4AFD"/>
    <w:rsid w:val="007A4DEC"/>
    <w:rsid w:val="007A4F5D"/>
    <w:rsid w:val="007A507F"/>
    <w:rsid w:val="007A5856"/>
    <w:rsid w:val="007A5912"/>
    <w:rsid w:val="007A5EC2"/>
    <w:rsid w:val="007A5F97"/>
    <w:rsid w:val="007A6378"/>
    <w:rsid w:val="007A64EB"/>
    <w:rsid w:val="007A6666"/>
    <w:rsid w:val="007A6699"/>
    <w:rsid w:val="007A68D1"/>
    <w:rsid w:val="007A6906"/>
    <w:rsid w:val="007A6A24"/>
    <w:rsid w:val="007A6D91"/>
    <w:rsid w:val="007A6E99"/>
    <w:rsid w:val="007A6EFF"/>
    <w:rsid w:val="007A745F"/>
    <w:rsid w:val="007A7617"/>
    <w:rsid w:val="007A7B52"/>
    <w:rsid w:val="007A7C6E"/>
    <w:rsid w:val="007A7C9A"/>
    <w:rsid w:val="007A7C9B"/>
    <w:rsid w:val="007B0003"/>
    <w:rsid w:val="007B0063"/>
    <w:rsid w:val="007B0216"/>
    <w:rsid w:val="007B0517"/>
    <w:rsid w:val="007B0737"/>
    <w:rsid w:val="007B0862"/>
    <w:rsid w:val="007B0867"/>
    <w:rsid w:val="007B0A69"/>
    <w:rsid w:val="007B0A80"/>
    <w:rsid w:val="007B0AB3"/>
    <w:rsid w:val="007B0B89"/>
    <w:rsid w:val="007B1033"/>
    <w:rsid w:val="007B10D5"/>
    <w:rsid w:val="007B125A"/>
    <w:rsid w:val="007B1291"/>
    <w:rsid w:val="007B1588"/>
    <w:rsid w:val="007B1AE9"/>
    <w:rsid w:val="007B1C44"/>
    <w:rsid w:val="007B1C88"/>
    <w:rsid w:val="007B2417"/>
    <w:rsid w:val="007B2702"/>
    <w:rsid w:val="007B2839"/>
    <w:rsid w:val="007B299B"/>
    <w:rsid w:val="007B2CFE"/>
    <w:rsid w:val="007B3370"/>
    <w:rsid w:val="007B3633"/>
    <w:rsid w:val="007B36AD"/>
    <w:rsid w:val="007B37B2"/>
    <w:rsid w:val="007B389A"/>
    <w:rsid w:val="007B3A63"/>
    <w:rsid w:val="007B3C0F"/>
    <w:rsid w:val="007B3C1F"/>
    <w:rsid w:val="007B3EA5"/>
    <w:rsid w:val="007B4031"/>
    <w:rsid w:val="007B41EA"/>
    <w:rsid w:val="007B4313"/>
    <w:rsid w:val="007B44E3"/>
    <w:rsid w:val="007B4984"/>
    <w:rsid w:val="007B4A16"/>
    <w:rsid w:val="007B4AAD"/>
    <w:rsid w:val="007B4E6D"/>
    <w:rsid w:val="007B500D"/>
    <w:rsid w:val="007B5251"/>
    <w:rsid w:val="007B529B"/>
    <w:rsid w:val="007B53FA"/>
    <w:rsid w:val="007B5406"/>
    <w:rsid w:val="007B54E1"/>
    <w:rsid w:val="007B55DD"/>
    <w:rsid w:val="007B56BA"/>
    <w:rsid w:val="007B57D4"/>
    <w:rsid w:val="007B58E3"/>
    <w:rsid w:val="007B5995"/>
    <w:rsid w:val="007B5AC6"/>
    <w:rsid w:val="007B5B79"/>
    <w:rsid w:val="007B5C52"/>
    <w:rsid w:val="007B5D61"/>
    <w:rsid w:val="007B5F54"/>
    <w:rsid w:val="007B5F94"/>
    <w:rsid w:val="007B6052"/>
    <w:rsid w:val="007B63F2"/>
    <w:rsid w:val="007B65F4"/>
    <w:rsid w:val="007B663E"/>
    <w:rsid w:val="007B669C"/>
    <w:rsid w:val="007B678C"/>
    <w:rsid w:val="007B6930"/>
    <w:rsid w:val="007B6A47"/>
    <w:rsid w:val="007B6B1A"/>
    <w:rsid w:val="007B6B95"/>
    <w:rsid w:val="007B6C5C"/>
    <w:rsid w:val="007B6C83"/>
    <w:rsid w:val="007B7063"/>
    <w:rsid w:val="007B75E3"/>
    <w:rsid w:val="007B76E4"/>
    <w:rsid w:val="007B78B8"/>
    <w:rsid w:val="007B7936"/>
    <w:rsid w:val="007B7953"/>
    <w:rsid w:val="007C01CA"/>
    <w:rsid w:val="007C0344"/>
    <w:rsid w:val="007C06C5"/>
    <w:rsid w:val="007C0731"/>
    <w:rsid w:val="007C07BF"/>
    <w:rsid w:val="007C083A"/>
    <w:rsid w:val="007C09BC"/>
    <w:rsid w:val="007C0A07"/>
    <w:rsid w:val="007C0A10"/>
    <w:rsid w:val="007C0A6F"/>
    <w:rsid w:val="007C0C3D"/>
    <w:rsid w:val="007C0D2D"/>
    <w:rsid w:val="007C0EAB"/>
    <w:rsid w:val="007C0EB8"/>
    <w:rsid w:val="007C10D4"/>
    <w:rsid w:val="007C12D9"/>
    <w:rsid w:val="007C13BD"/>
    <w:rsid w:val="007C1619"/>
    <w:rsid w:val="007C16FB"/>
    <w:rsid w:val="007C18B0"/>
    <w:rsid w:val="007C1B7E"/>
    <w:rsid w:val="007C1E19"/>
    <w:rsid w:val="007C1E53"/>
    <w:rsid w:val="007C1F54"/>
    <w:rsid w:val="007C20D0"/>
    <w:rsid w:val="007C211A"/>
    <w:rsid w:val="007C22DE"/>
    <w:rsid w:val="007C2633"/>
    <w:rsid w:val="007C26BB"/>
    <w:rsid w:val="007C27F4"/>
    <w:rsid w:val="007C27FE"/>
    <w:rsid w:val="007C283B"/>
    <w:rsid w:val="007C2E15"/>
    <w:rsid w:val="007C2F3D"/>
    <w:rsid w:val="007C2FBD"/>
    <w:rsid w:val="007C3023"/>
    <w:rsid w:val="007C31A8"/>
    <w:rsid w:val="007C31D0"/>
    <w:rsid w:val="007C32E7"/>
    <w:rsid w:val="007C3356"/>
    <w:rsid w:val="007C3370"/>
    <w:rsid w:val="007C35C0"/>
    <w:rsid w:val="007C35E1"/>
    <w:rsid w:val="007C3B48"/>
    <w:rsid w:val="007C3DBC"/>
    <w:rsid w:val="007C3E39"/>
    <w:rsid w:val="007C3F51"/>
    <w:rsid w:val="007C3FD0"/>
    <w:rsid w:val="007C4022"/>
    <w:rsid w:val="007C4050"/>
    <w:rsid w:val="007C4099"/>
    <w:rsid w:val="007C42AD"/>
    <w:rsid w:val="007C4403"/>
    <w:rsid w:val="007C4562"/>
    <w:rsid w:val="007C45E9"/>
    <w:rsid w:val="007C478C"/>
    <w:rsid w:val="007C4790"/>
    <w:rsid w:val="007C47F0"/>
    <w:rsid w:val="007C4930"/>
    <w:rsid w:val="007C4A04"/>
    <w:rsid w:val="007C4A23"/>
    <w:rsid w:val="007C4B00"/>
    <w:rsid w:val="007C4D21"/>
    <w:rsid w:val="007C4F07"/>
    <w:rsid w:val="007C4F56"/>
    <w:rsid w:val="007C519F"/>
    <w:rsid w:val="007C52B9"/>
    <w:rsid w:val="007C547B"/>
    <w:rsid w:val="007C54C9"/>
    <w:rsid w:val="007C592C"/>
    <w:rsid w:val="007C59DD"/>
    <w:rsid w:val="007C59F1"/>
    <w:rsid w:val="007C5E4F"/>
    <w:rsid w:val="007C5F33"/>
    <w:rsid w:val="007C6026"/>
    <w:rsid w:val="007C6395"/>
    <w:rsid w:val="007C6413"/>
    <w:rsid w:val="007C64D6"/>
    <w:rsid w:val="007C65D8"/>
    <w:rsid w:val="007C6E53"/>
    <w:rsid w:val="007C6EBD"/>
    <w:rsid w:val="007C6FA1"/>
    <w:rsid w:val="007C712B"/>
    <w:rsid w:val="007C7258"/>
    <w:rsid w:val="007C769A"/>
    <w:rsid w:val="007C773A"/>
    <w:rsid w:val="007C79B2"/>
    <w:rsid w:val="007C7A34"/>
    <w:rsid w:val="007C7AFB"/>
    <w:rsid w:val="007C7E6E"/>
    <w:rsid w:val="007C7FD3"/>
    <w:rsid w:val="007D0188"/>
    <w:rsid w:val="007D02E3"/>
    <w:rsid w:val="007D02ED"/>
    <w:rsid w:val="007D0428"/>
    <w:rsid w:val="007D0784"/>
    <w:rsid w:val="007D07A6"/>
    <w:rsid w:val="007D09F2"/>
    <w:rsid w:val="007D0A62"/>
    <w:rsid w:val="007D0BCE"/>
    <w:rsid w:val="007D0BFF"/>
    <w:rsid w:val="007D0F51"/>
    <w:rsid w:val="007D1256"/>
    <w:rsid w:val="007D1361"/>
    <w:rsid w:val="007D1657"/>
    <w:rsid w:val="007D16F2"/>
    <w:rsid w:val="007D1802"/>
    <w:rsid w:val="007D1979"/>
    <w:rsid w:val="007D1AFE"/>
    <w:rsid w:val="007D1C5A"/>
    <w:rsid w:val="007D1D69"/>
    <w:rsid w:val="007D1E36"/>
    <w:rsid w:val="007D1F4D"/>
    <w:rsid w:val="007D2046"/>
    <w:rsid w:val="007D22A4"/>
    <w:rsid w:val="007D22E2"/>
    <w:rsid w:val="007D23BE"/>
    <w:rsid w:val="007D26BA"/>
    <w:rsid w:val="007D275E"/>
    <w:rsid w:val="007D2AC0"/>
    <w:rsid w:val="007D2BA2"/>
    <w:rsid w:val="007D2DB8"/>
    <w:rsid w:val="007D323A"/>
    <w:rsid w:val="007D3245"/>
    <w:rsid w:val="007D336B"/>
    <w:rsid w:val="007D3388"/>
    <w:rsid w:val="007D3504"/>
    <w:rsid w:val="007D3802"/>
    <w:rsid w:val="007D3A29"/>
    <w:rsid w:val="007D3BB8"/>
    <w:rsid w:val="007D3E3A"/>
    <w:rsid w:val="007D3E5A"/>
    <w:rsid w:val="007D3E67"/>
    <w:rsid w:val="007D3F55"/>
    <w:rsid w:val="007D40EB"/>
    <w:rsid w:val="007D40FB"/>
    <w:rsid w:val="007D4238"/>
    <w:rsid w:val="007D42BE"/>
    <w:rsid w:val="007D43E4"/>
    <w:rsid w:val="007D4512"/>
    <w:rsid w:val="007D45BB"/>
    <w:rsid w:val="007D4802"/>
    <w:rsid w:val="007D485E"/>
    <w:rsid w:val="007D5000"/>
    <w:rsid w:val="007D528C"/>
    <w:rsid w:val="007D52EA"/>
    <w:rsid w:val="007D536C"/>
    <w:rsid w:val="007D5513"/>
    <w:rsid w:val="007D554D"/>
    <w:rsid w:val="007D5675"/>
    <w:rsid w:val="007D574E"/>
    <w:rsid w:val="007D5807"/>
    <w:rsid w:val="007D5B3A"/>
    <w:rsid w:val="007D5B8A"/>
    <w:rsid w:val="007D5CC6"/>
    <w:rsid w:val="007D6041"/>
    <w:rsid w:val="007D60C8"/>
    <w:rsid w:val="007D60CE"/>
    <w:rsid w:val="007D6212"/>
    <w:rsid w:val="007D6226"/>
    <w:rsid w:val="007D6265"/>
    <w:rsid w:val="007D630E"/>
    <w:rsid w:val="007D6808"/>
    <w:rsid w:val="007D6B48"/>
    <w:rsid w:val="007D6BB6"/>
    <w:rsid w:val="007D6F40"/>
    <w:rsid w:val="007D703C"/>
    <w:rsid w:val="007D70FA"/>
    <w:rsid w:val="007D791D"/>
    <w:rsid w:val="007D7BB5"/>
    <w:rsid w:val="007D7C9F"/>
    <w:rsid w:val="007D7D4F"/>
    <w:rsid w:val="007D7D85"/>
    <w:rsid w:val="007D7E0A"/>
    <w:rsid w:val="007E0251"/>
    <w:rsid w:val="007E0289"/>
    <w:rsid w:val="007E0478"/>
    <w:rsid w:val="007E05B9"/>
    <w:rsid w:val="007E0671"/>
    <w:rsid w:val="007E0CE0"/>
    <w:rsid w:val="007E0D6D"/>
    <w:rsid w:val="007E0DB3"/>
    <w:rsid w:val="007E0E32"/>
    <w:rsid w:val="007E0EFB"/>
    <w:rsid w:val="007E10E1"/>
    <w:rsid w:val="007E11A1"/>
    <w:rsid w:val="007E11D2"/>
    <w:rsid w:val="007E120F"/>
    <w:rsid w:val="007E135C"/>
    <w:rsid w:val="007E1D87"/>
    <w:rsid w:val="007E262B"/>
    <w:rsid w:val="007E27DB"/>
    <w:rsid w:val="007E2823"/>
    <w:rsid w:val="007E2F52"/>
    <w:rsid w:val="007E31D1"/>
    <w:rsid w:val="007E32A4"/>
    <w:rsid w:val="007E3445"/>
    <w:rsid w:val="007E3457"/>
    <w:rsid w:val="007E351E"/>
    <w:rsid w:val="007E3563"/>
    <w:rsid w:val="007E365B"/>
    <w:rsid w:val="007E380D"/>
    <w:rsid w:val="007E382E"/>
    <w:rsid w:val="007E4294"/>
    <w:rsid w:val="007E42E5"/>
    <w:rsid w:val="007E42FB"/>
    <w:rsid w:val="007E4331"/>
    <w:rsid w:val="007E44A4"/>
    <w:rsid w:val="007E478A"/>
    <w:rsid w:val="007E48B4"/>
    <w:rsid w:val="007E4C0B"/>
    <w:rsid w:val="007E4D4A"/>
    <w:rsid w:val="007E4D64"/>
    <w:rsid w:val="007E4D7B"/>
    <w:rsid w:val="007E4D9A"/>
    <w:rsid w:val="007E4EFE"/>
    <w:rsid w:val="007E4FEC"/>
    <w:rsid w:val="007E529F"/>
    <w:rsid w:val="007E5376"/>
    <w:rsid w:val="007E53AA"/>
    <w:rsid w:val="007E540B"/>
    <w:rsid w:val="007E5545"/>
    <w:rsid w:val="007E5831"/>
    <w:rsid w:val="007E5A2D"/>
    <w:rsid w:val="007E5C6C"/>
    <w:rsid w:val="007E5E40"/>
    <w:rsid w:val="007E5F81"/>
    <w:rsid w:val="007E60D8"/>
    <w:rsid w:val="007E61B6"/>
    <w:rsid w:val="007E6382"/>
    <w:rsid w:val="007E65F0"/>
    <w:rsid w:val="007E677A"/>
    <w:rsid w:val="007E68A7"/>
    <w:rsid w:val="007E6936"/>
    <w:rsid w:val="007E69F9"/>
    <w:rsid w:val="007E6A35"/>
    <w:rsid w:val="007E703B"/>
    <w:rsid w:val="007E7243"/>
    <w:rsid w:val="007E7296"/>
    <w:rsid w:val="007E7548"/>
    <w:rsid w:val="007E760F"/>
    <w:rsid w:val="007E7746"/>
    <w:rsid w:val="007E7A17"/>
    <w:rsid w:val="007E7D0B"/>
    <w:rsid w:val="007E7FB6"/>
    <w:rsid w:val="007F0119"/>
    <w:rsid w:val="007F0143"/>
    <w:rsid w:val="007F0716"/>
    <w:rsid w:val="007F07B5"/>
    <w:rsid w:val="007F081C"/>
    <w:rsid w:val="007F0989"/>
    <w:rsid w:val="007F09DA"/>
    <w:rsid w:val="007F0A47"/>
    <w:rsid w:val="007F0CA2"/>
    <w:rsid w:val="007F121C"/>
    <w:rsid w:val="007F1320"/>
    <w:rsid w:val="007F139C"/>
    <w:rsid w:val="007F13EE"/>
    <w:rsid w:val="007F1460"/>
    <w:rsid w:val="007F1709"/>
    <w:rsid w:val="007F17CC"/>
    <w:rsid w:val="007F1913"/>
    <w:rsid w:val="007F1C5B"/>
    <w:rsid w:val="007F1E47"/>
    <w:rsid w:val="007F1E8D"/>
    <w:rsid w:val="007F1FF0"/>
    <w:rsid w:val="007F22B1"/>
    <w:rsid w:val="007F26A4"/>
    <w:rsid w:val="007F2887"/>
    <w:rsid w:val="007F28F5"/>
    <w:rsid w:val="007F295A"/>
    <w:rsid w:val="007F2B22"/>
    <w:rsid w:val="007F2C0A"/>
    <w:rsid w:val="007F2C96"/>
    <w:rsid w:val="007F2D12"/>
    <w:rsid w:val="007F3098"/>
    <w:rsid w:val="007F3670"/>
    <w:rsid w:val="007F377D"/>
    <w:rsid w:val="007F37A7"/>
    <w:rsid w:val="007F385B"/>
    <w:rsid w:val="007F386A"/>
    <w:rsid w:val="007F396E"/>
    <w:rsid w:val="007F3B1C"/>
    <w:rsid w:val="007F3F60"/>
    <w:rsid w:val="007F42D6"/>
    <w:rsid w:val="007F478F"/>
    <w:rsid w:val="007F4B45"/>
    <w:rsid w:val="007F4F73"/>
    <w:rsid w:val="007F517F"/>
    <w:rsid w:val="007F52D3"/>
    <w:rsid w:val="007F53EA"/>
    <w:rsid w:val="007F53F0"/>
    <w:rsid w:val="007F54F1"/>
    <w:rsid w:val="007F5725"/>
    <w:rsid w:val="007F57FF"/>
    <w:rsid w:val="007F59BC"/>
    <w:rsid w:val="007F5C4D"/>
    <w:rsid w:val="007F5D2A"/>
    <w:rsid w:val="007F5FDF"/>
    <w:rsid w:val="007F5FEC"/>
    <w:rsid w:val="007F6124"/>
    <w:rsid w:val="007F640B"/>
    <w:rsid w:val="007F680C"/>
    <w:rsid w:val="007F68F8"/>
    <w:rsid w:val="007F6B14"/>
    <w:rsid w:val="007F6B15"/>
    <w:rsid w:val="007F6BF3"/>
    <w:rsid w:val="007F6C28"/>
    <w:rsid w:val="007F6E84"/>
    <w:rsid w:val="007F72AD"/>
    <w:rsid w:val="007F72C5"/>
    <w:rsid w:val="007F735B"/>
    <w:rsid w:val="007F73C5"/>
    <w:rsid w:val="007F740C"/>
    <w:rsid w:val="007F7433"/>
    <w:rsid w:val="007F76C3"/>
    <w:rsid w:val="007F7897"/>
    <w:rsid w:val="007F7B3B"/>
    <w:rsid w:val="007F7E9D"/>
    <w:rsid w:val="0080003C"/>
    <w:rsid w:val="00800088"/>
    <w:rsid w:val="0080023B"/>
    <w:rsid w:val="008002B7"/>
    <w:rsid w:val="00800655"/>
    <w:rsid w:val="008007DD"/>
    <w:rsid w:val="008009EE"/>
    <w:rsid w:val="00800F0B"/>
    <w:rsid w:val="00800F2D"/>
    <w:rsid w:val="00800FE0"/>
    <w:rsid w:val="008014E5"/>
    <w:rsid w:val="008015B7"/>
    <w:rsid w:val="00801845"/>
    <w:rsid w:val="00801879"/>
    <w:rsid w:val="008018D8"/>
    <w:rsid w:val="00801B7C"/>
    <w:rsid w:val="00801BB0"/>
    <w:rsid w:val="00801BC7"/>
    <w:rsid w:val="00801C64"/>
    <w:rsid w:val="00801D55"/>
    <w:rsid w:val="00801D80"/>
    <w:rsid w:val="00801E19"/>
    <w:rsid w:val="00801F4B"/>
    <w:rsid w:val="00802179"/>
    <w:rsid w:val="008021E2"/>
    <w:rsid w:val="008023AF"/>
    <w:rsid w:val="0080241D"/>
    <w:rsid w:val="00802548"/>
    <w:rsid w:val="00802B5F"/>
    <w:rsid w:val="00802BD2"/>
    <w:rsid w:val="00802C76"/>
    <w:rsid w:val="00802CCC"/>
    <w:rsid w:val="00802D15"/>
    <w:rsid w:val="00802D74"/>
    <w:rsid w:val="00803001"/>
    <w:rsid w:val="008030BE"/>
    <w:rsid w:val="0080324F"/>
    <w:rsid w:val="00803478"/>
    <w:rsid w:val="008034B6"/>
    <w:rsid w:val="008034F8"/>
    <w:rsid w:val="008036E0"/>
    <w:rsid w:val="0080399C"/>
    <w:rsid w:val="008039AF"/>
    <w:rsid w:val="00803A9A"/>
    <w:rsid w:val="00803D33"/>
    <w:rsid w:val="00803FD4"/>
    <w:rsid w:val="00803FF5"/>
    <w:rsid w:val="008040D5"/>
    <w:rsid w:val="00804109"/>
    <w:rsid w:val="0080419C"/>
    <w:rsid w:val="008041DF"/>
    <w:rsid w:val="008041E6"/>
    <w:rsid w:val="008043AE"/>
    <w:rsid w:val="008045AA"/>
    <w:rsid w:val="00804743"/>
    <w:rsid w:val="008047E2"/>
    <w:rsid w:val="0080486B"/>
    <w:rsid w:val="00804922"/>
    <w:rsid w:val="00804F7A"/>
    <w:rsid w:val="00805135"/>
    <w:rsid w:val="00805253"/>
    <w:rsid w:val="0080554D"/>
    <w:rsid w:val="00805560"/>
    <w:rsid w:val="008057B5"/>
    <w:rsid w:val="00805859"/>
    <w:rsid w:val="0080586C"/>
    <w:rsid w:val="00805B19"/>
    <w:rsid w:val="00805D77"/>
    <w:rsid w:val="00806067"/>
    <w:rsid w:val="00806380"/>
    <w:rsid w:val="008067EA"/>
    <w:rsid w:val="008069F9"/>
    <w:rsid w:val="00806BB2"/>
    <w:rsid w:val="00806E4D"/>
    <w:rsid w:val="00806E65"/>
    <w:rsid w:val="00806EE6"/>
    <w:rsid w:val="00807085"/>
    <w:rsid w:val="00807103"/>
    <w:rsid w:val="00807162"/>
    <w:rsid w:val="00807486"/>
    <w:rsid w:val="00807492"/>
    <w:rsid w:val="008075F0"/>
    <w:rsid w:val="0080761A"/>
    <w:rsid w:val="00807633"/>
    <w:rsid w:val="00807845"/>
    <w:rsid w:val="00807B16"/>
    <w:rsid w:val="00807E07"/>
    <w:rsid w:val="00807F0B"/>
    <w:rsid w:val="00810013"/>
    <w:rsid w:val="008101D1"/>
    <w:rsid w:val="0081081F"/>
    <w:rsid w:val="008108BA"/>
    <w:rsid w:val="00810A3D"/>
    <w:rsid w:val="00810A64"/>
    <w:rsid w:val="00810D17"/>
    <w:rsid w:val="00811078"/>
    <w:rsid w:val="0081126D"/>
    <w:rsid w:val="008112E6"/>
    <w:rsid w:val="00811478"/>
    <w:rsid w:val="008114B7"/>
    <w:rsid w:val="00811A0F"/>
    <w:rsid w:val="0081214F"/>
    <w:rsid w:val="00812767"/>
    <w:rsid w:val="00812C2C"/>
    <w:rsid w:val="00812C5E"/>
    <w:rsid w:val="00812E87"/>
    <w:rsid w:val="00812FFA"/>
    <w:rsid w:val="00813059"/>
    <w:rsid w:val="00813A71"/>
    <w:rsid w:val="00813BE3"/>
    <w:rsid w:val="00813D4B"/>
    <w:rsid w:val="00813D7C"/>
    <w:rsid w:val="00813DF5"/>
    <w:rsid w:val="00813F12"/>
    <w:rsid w:val="00813FAE"/>
    <w:rsid w:val="008142DD"/>
    <w:rsid w:val="00814478"/>
    <w:rsid w:val="0081447A"/>
    <w:rsid w:val="008145EB"/>
    <w:rsid w:val="00814ABF"/>
    <w:rsid w:val="00814D61"/>
    <w:rsid w:val="00814DEC"/>
    <w:rsid w:val="00814E8F"/>
    <w:rsid w:val="00815528"/>
    <w:rsid w:val="008155AC"/>
    <w:rsid w:val="00815689"/>
    <w:rsid w:val="008157F1"/>
    <w:rsid w:val="00815829"/>
    <w:rsid w:val="00815B20"/>
    <w:rsid w:val="00815C29"/>
    <w:rsid w:val="00815D4E"/>
    <w:rsid w:val="00816066"/>
    <w:rsid w:val="0081621D"/>
    <w:rsid w:val="008163A4"/>
    <w:rsid w:val="008165B5"/>
    <w:rsid w:val="0081675C"/>
    <w:rsid w:val="00816771"/>
    <w:rsid w:val="008167D5"/>
    <w:rsid w:val="008167F2"/>
    <w:rsid w:val="008168C4"/>
    <w:rsid w:val="00816901"/>
    <w:rsid w:val="0081699C"/>
    <w:rsid w:val="00816A45"/>
    <w:rsid w:val="00816BA9"/>
    <w:rsid w:val="00816BB1"/>
    <w:rsid w:val="00816D21"/>
    <w:rsid w:val="00816FA9"/>
    <w:rsid w:val="008171CF"/>
    <w:rsid w:val="00817409"/>
    <w:rsid w:val="00817598"/>
    <w:rsid w:val="0081787F"/>
    <w:rsid w:val="0081795B"/>
    <w:rsid w:val="008179F3"/>
    <w:rsid w:val="008179F5"/>
    <w:rsid w:val="0082009C"/>
    <w:rsid w:val="008201EC"/>
    <w:rsid w:val="008203A3"/>
    <w:rsid w:val="008203C1"/>
    <w:rsid w:val="00820522"/>
    <w:rsid w:val="008205FA"/>
    <w:rsid w:val="00820613"/>
    <w:rsid w:val="00820696"/>
    <w:rsid w:val="008208AA"/>
    <w:rsid w:val="00820B1A"/>
    <w:rsid w:val="00820C25"/>
    <w:rsid w:val="00820C47"/>
    <w:rsid w:val="00820C4F"/>
    <w:rsid w:val="00820CFA"/>
    <w:rsid w:val="00820ED3"/>
    <w:rsid w:val="00820F35"/>
    <w:rsid w:val="008211DC"/>
    <w:rsid w:val="00821274"/>
    <w:rsid w:val="0082131F"/>
    <w:rsid w:val="00821462"/>
    <w:rsid w:val="008215C8"/>
    <w:rsid w:val="008216C0"/>
    <w:rsid w:val="008218D7"/>
    <w:rsid w:val="00821BBD"/>
    <w:rsid w:val="00821DFD"/>
    <w:rsid w:val="00821E3D"/>
    <w:rsid w:val="00821E7D"/>
    <w:rsid w:val="008220DE"/>
    <w:rsid w:val="00822111"/>
    <w:rsid w:val="00822505"/>
    <w:rsid w:val="00822693"/>
    <w:rsid w:val="00822708"/>
    <w:rsid w:val="008229B8"/>
    <w:rsid w:val="00822A3D"/>
    <w:rsid w:val="00822AFF"/>
    <w:rsid w:val="00822D78"/>
    <w:rsid w:val="00822DA3"/>
    <w:rsid w:val="00822F13"/>
    <w:rsid w:val="00822F69"/>
    <w:rsid w:val="008231F7"/>
    <w:rsid w:val="00823355"/>
    <w:rsid w:val="0082346D"/>
    <w:rsid w:val="00823488"/>
    <w:rsid w:val="008235F0"/>
    <w:rsid w:val="00823741"/>
    <w:rsid w:val="00823842"/>
    <w:rsid w:val="00823A25"/>
    <w:rsid w:val="00823E2D"/>
    <w:rsid w:val="00823F3A"/>
    <w:rsid w:val="0082459B"/>
    <w:rsid w:val="0082465C"/>
    <w:rsid w:val="00824694"/>
    <w:rsid w:val="008246C7"/>
    <w:rsid w:val="00824E5C"/>
    <w:rsid w:val="00824F53"/>
    <w:rsid w:val="008252FB"/>
    <w:rsid w:val="0082543D"/>
    <w:rsid w:val="00825726"/>
    <w:rsid w:val="00825A02"/>
    <w:rsid w:val="00825E80"/>
    <w:rsid w:val="00825EC7"/>
    <w:rsid w:val="00826046"/>
    <w:rsid w:val="0082606B"/>
    <w:rsid w:val="00826158"/>
    <w:rsid w:val="0082628A"/>
    <w:rsid w:val="0082640E"/>
    <w:rsid w:val="008264C7"/>
    <w:rsid w:val="0082654B"/>
    <w:rsid w:val="008265F9"/>
    <w:rsid w:val="00826660"/>
    <w:rsid w:val="00826AA5"/>
    <w:rsid w:val="00826C0A"/>
    <w:rsid w:val="00826C48"/>
    <w:rsid w:val="00826E91"/>
    <w:rsid w:val="00826EBE"/>
    <w:rsid w:val="00826F63"/>
    <w:rsid w:val="00827004"/>
    <w:rsid w:val="00827492"/>
    <w:rsid w:val="00827657"/>
    <w:rsid w:val="00827687"/>
    <w:rsid w:val="00827688"/>
    <w:rsid w:val="0082781C"/>
    <w:rsid w:val="00827910"/>
    <w:rsid w:val="00827A2E"/>
    <w:rsid w:val="00827D66"/>
    <w:rsid w:val="00827DFD"/>
    <w:rsid w:val="0083000D"/>
    <w:rsid w:val="008305D7"/>
    <w:rsid w:val="008307F8"/>
    <w:rsid w:val="008307FD"/>
    <w:rsid w:val="008309D3"/>
    <w:rsid w:val="00830D45"/>
    <w:rsid w:val="00830D4C"/>
    <w:rsid w:val="00830E6F"/>
    <w:rsid w:val="00830F9E"/>
    <w:rsid w:val="008311D1"/>
    <w:rsid w:val="00831323"/>
    <w:rsid w:val="00831648"/>
    <w:rsid w:val="00831B48"/>
    <w:rsid w:val="00831BFF"/>
    <w:rsid w:val="00831C67"/>
    <w:rsid w:val="00831DE9"/>
    <w:rsid w:val="00831DF4"/>
    <w:rsid w:val="00831E2D"/>
    <w:rsid w:val="0083201C"/>
    <w:rsid w:val="0083209F"/>
    <w:rsid w:val="008322A5"/>
    <w:rsid w:val="008322BB"/>
    <w:rsid w:val="00832502"/>
    <w:rsid w:val="00832636"/>
    <w:rsid w:val="00832A24"/>
    <w:rsid w:val="00832BAA"/>
    <w:rsid w:val="00832C00"/>
    <w:rsid w:val="00832D91"/>
    <w:rsid w:val="00832E2B"/>
    <w:rsid w:val="00832E40"/>
    <w:rsid w:val="00832ECB"/>
    <w:rsid w:val="00832F47"/>
    <w:rsid w:val="008333C1"/>
    <w:rsid w:val="008333F4"/>
    <w:rsid w:val="00833652"/>
    <w:rsid w:val="00833D8E"/>
    <w:rsid w:val="00833E88"/>
    <w:rsid w:val="00833EA3"/>
    <w:rsid w:val="00833F49"/>
    <w:rsid w:val="00833FD6"/>
    <w:rsid w:val="00834023"/>
    <w:rsid w:val="008340AD"/>
    <w:rsid w:val="008340DE"/>
    <w:rsid w:val="00834115"/>
    <w:rsid w:val="008343B1"/>
    <w:rsid w:val="008343C2"/>
    <w:rsid w:val="00834418"/>
    <w:rsid w:val="00834606"/>
    <w:rsid w:val="00834662"/>
    <w:rsid w:val="00834B87"/>
    <w:rsid w:val="00834DC0"/>
    <w:rsid w:val="00834EB1"/>
    <w:rsid w:val="00834EBE"/>
    <w:rsid w:val="008350FF"/>
    <w:rsid w:val="008351D8"/>
    <w:rsid w:val="00835202"/>
    <w:rsid w:val="00835445"/>
    <w:rsid w:val="00835579"/>
    <w:rsid w:val="00835BDD"/>
    <w:rsid w:val="00835D15"/>
    <w:rsid w:val="00835E0A"/>
    <w:rsid w:val="00835EDA"/>
    <w:rsid w:val="0083601C"/>
    <w:rsid w:val="008362F2"/>
    <w:rsid w:val="00836340"/>
    <w:rsid w:val="008364AD"/>
    <w:rsid w:val="008364F3"/>
    <w:rsid w:val="0083660A"/>
    <w:rsid w:val="00836705"/>
    <w:rsid w:val="00836897"/>
    <w:rsid w:val="00836ADA"/>
    <w:rsid w:val="00836C9E"/>
    <w:rsid w:val="00836DA5"/>
    <w:rsid w:val="00836F90"/>
    <w:rsid w:val="00837000"/>
    <w:rsid w:val="00837026"/>
    <w:rsid w:val="00837036"/>
    <w:rsid w:val="00837118"/>
    <w:rsid w:val="00837182"/>
    <w:rsid w:val="008371C5"/>
    <w:rsid w:val="00837292"/>
    <w:rsid w:val="0083733C"/>
    <w:rsid w:val="008375FD"/>
    <w:rsid w:val="008376F3"/>
    <w:rsid w:val="00837CFF"/>
    <w:rsid w:val="00837F95"/>
    <w:rsid w:val="00840147"/>
    <w:rsid w:val="008401FF"/>
    <w:rsid w:val="008402CD"/>
    <w:rsid w:val="008402EE"/>
    <w:rsid w:val="0084039D"/>
    <w:rsid w:val="00840658"/>
    <w:rsid w:val="00840669"/>
    <w:rsid w:val="0084097F"/>
    <w:rsid w:val="008409AC"/>
    <w:rsid w:val="00840F7B"/>
    <w:rsid w:val="00841002"/>
    <w:rsid w:val="0084102C"/>
    <w:rsid w:val="00841235"/>
    <w:rsid w:val="008416A0"/>
    <w:rsid w:val="008417AC"/>
    <w:rsid w:val="00841C90"/>
    <w:rsid w:val="00841D1D"/>
    <w:rsid w:val="00841F5A"/>
    <w:rsid w:val="00842035"/>
    <w:rsid w:val="00842037"/>
    <w:rsid w:val="0084207B"/>
    <w:rsid w:val="008420EF"/>
    <w:rsid w:val="008421AB"/>
    <w:rsid w:val="00842229"/>
    <w:rsid w:val="0084227E"/>
    <w:rsid w:val="00842411"/>
    <w:rsid w:val="0084259F"/>
    <w:rsid w:val="008427D8"/>
    <w:rsid w:val="008428A5"/>
    <w:rsid w:val="00842A00"/>
    <w:rsid w:val="00842AEA"/>
    <w:rsid w:val="00842BC1"/>
    <w:rsid w:val="00842E7F"/>
    <w:rsid w:val="008431A1"/>
    <w:rsid w:val="008431DD"/>
    <w:rsid w:val="00843386"/>
    <w:rsid w:val="008433F4"/>
    <w:rsid w:val="0084340C"/>
    <w:rsid w:val="008435AA"/>
    <w:rsid w:val="008438CB"/>
    <w:rsid w:val="008438F4"/>
    <w:rsid w:val="00843A7B"/>
    <w:rsid w:val="00843B38"/>
    <w:rsid w:val="00843DB2"/>
    <w:rsid w:val="00843F05"/>
    <w:rsid w:val="008441C4"/>
    <w:rsid w:val="008441D5"/>
    <w:rsid w:val="008441EB"/>
    <w:rsid w:val="0084426E"/>
    <w:rsid w:val="0084440D"/>
    <w:rsid w:val="00844481"/>
    <w:rsid w:val="008444F4"/>
    <w:rsid w:val="00844B7B"/>
    <w:rsid w:val="00844CCF"/>
    <w:rsid w:val="00844ECD"/>
    <w:rsid w:val="00845132"/>
    <w:rsid w:val="0084522C"/>
    <w:rsid w:val="008452BF"/>
    <w:rsid w:val="0084564B"/>
    <w:rsid w:val="008456DE"/>
    <w:rsid w:val="008457AA"/>
    <w:rsid w:val="00845CF7"/>
    <w:rsid w:val="00845D9C"/>
    <w:rsid w:val="00845DA2"/>
    <w:rsid w:val="00845DAD"/>
    <w:rsid w:val="00845DE5"/>
    <w:rsid w:val="00845E2B"/>
    <w:rsid w:val="00846375"/>
    <w:rsid w:val="008463D7"/>
    <w:rsid w:val="00846432"/>
    <w:rsid w:val="00846775"/>
    <w:rsid w:val="00846862"/>
    <w:rsid w:val="00846A1D"/>
    <w:rsid w:val="00847059"/>
    <w:rsid w:val="0084707D"/>
    <w:rsid w:val="00847097"/>
    <w:rsid w:val="0084715A"/>
    <w:rsid w:val="0084722D"/>
    <w:rsid w:val="008473CD"/>
    <w:rsid w:val="008474EB"/>
    <w:rsid w:val="0084767C"/>
    <w:rsid w:val="00847971"/>
    <w:rsid w:val="00847DE0"/>
    <w:rsid w:val="00847E73"/>
    <w:rsid w:val="00847FD9"/>
    <w:rsid w:val="00850100"/>
    <w:rsid w:val="008501DE"/>
    <w:rsid w:val="0085096D"/>
    <w:rsid w:val="00850C03"/>
    <w:rsid w:val="00850D51"/>
    <w:rsid w:val="00850DCC"/>
    <w:rsid w:val="008511A9"/>
    <w:rsid w:val="00851418"/>
    <w:rsid w:val="0085164C"/>
    <w:rsid w:val="00851710"/>
    <w:rsid w:val="0085175A"/>
    <w:rsid w:val="00851807"/>
    <w:rsid w:val="008518F7"/>
    <w:rsid w:val="00851959"/>
    <w:rsid w:val="00851A4F"/>
    <w:rsid w:val="00851A50"/>
    <w:rsid w:val="00851B78"/>
    <w:rsid w:val="00851FF5"/>
    <w:rsid w:val="00852126"/>
    <w:rsid w:val="00852310"/>
    <w:rsid w:val="00852392"/>
    <w:rsid w:val="00852510"/>
    <w:rsid w:val="0085275B"/>
    <w:rsid w:val="008527B5"/>
    <w:rsid w:val="008529AB"/>
    <w:rsid w:val="00852A51"/>
    <w:rsid w:val="00852AD2"/>
    <w:rsid w:val="00852B0D"/>
    <w:rsid w:val="00852BB0"/>
    <w:rsid w:val="00852CC4"/>
    <w:rsid w:val="00852ECE"/>
    <w:rsid w:val="00852F73"/>
    <w:rsid w:val="0085301D"/>
    <w:rsid w:val="00853070"/>
    <w:rsid w:val="008535CE"/>
    <w:rsid w:val="00853693"/>
    <w:rsid w:val="0085385C"/>
    <w:rsid w:val="00853B1C"/>
    <w:rsid w:val="00853D48"/>
    <w:rsid w:val="00853F2A"/>
    <w:rsid w:val="008541A1"/>
    <w:rsid w:val="00854447"/>
    <w:rsid w:val="00854472"/>
    <w:rsid w:val="0085493E"/>
    <w:rsid w:val="008551A6"/>
    <w:rsid w:val="008551EC"/>
    <w:rsid w:val="0085520F"/>
    <w:rsid w:val="008553BC"/>
    <w:rsid w:val="0085540B"/>
    <w:rsid w:val="0085562C"/>
    <w:rsid w:val="008557AD"/>
    <w:rsid w:val="00855813"/>
    <w:rsid w:val="008558F7"/>
    <w:rsid w:val="00855CFD"/>
    <w:rsid w:val="00855D33"/>
    <w:rsid w:val="00855ED6"/>
    <w:rsid w:val="00855FB9"/>
    <w:rsid w:val="00855FC8"/>
    <w:rsid w:val="00856137"/>
    <w:rsid w:val="008563C9"/>
    <w:rsid w:val="00856433"/>
    <w:rsid w:val="008564E4"/>
    <w:rsid w:val="008565D9"/>
    <w:rsid w:val="00856711"/>
    <w:rsid w:val="00856835"/>
    <w:rsid w:val="00856958"/>
    <w:rsid w:val="00856A1B"/>
    <w:rsid w:val="00856F36"/>
    <w:rsid w:val="00857046"/>
    <w:rsid w:val="008572DB"/>
    <w:rsid w:val="008572F2"/>
    <w:rsid w:val="0085741B"/>
    <w:rsid w:val="008577CF"/>
    <w:rsid w:val="00857B3C"/>
    <w:rsid w:val="00857D59"/>
    <w:rsid w:val="00857DAB"/>
    <w:rsid w:val="00857DF8"/>
    <w:rsid w:val="008603A1"/>
    <w:rsid w:val="008603F7"/>
    <w:rsid w:val="008606CB"/>
    <w:rsid w:val="008607A4"/>
    <w:rsid w:val="008609CB"/>
    <w:rsid w:val="00860D7A"/>
    <w:rsid w:val="00861194"/>
    <w:rsid w:val="00861386"/>
    <w:rsid w:val="008614CD"/>
    <w:rsid w:val="008615BD"/>
    <w:rsid w:val="00861705"/>
    <w:rsid w:val="00861791"/>
    <w:rsid w:val="008618C1"/>
    <w:rsid w:val="00861A10"/>
    <w:rsid w:val="00861D91"/>
    <w:rsid w:val="00861DCA"/>
    <w:rsid w:val="00861DF5"/>
    <w:rsid w:val="008622C3"/>
    <w:rsid w:val="008624FD"/>
    <w:rsid w:val="008625C4"/>
    <w:rsid w:val="0086260F"/>
    <w:rsid w:val="008627A9"/>
    <w:rsid w:val="00862A65"/>
    <w:rsid w:val="00862A75"/>
    <w:rsid w:val="00862B51"/>
    <w:rsid w:val="00862DD5"/>
    <w:rsid w:val="00862EB5"/>
    <w:rsid w:val="00862F97"/>
    <w:rsid w:val="00862FE7"/>
    <w:rsid w:val="00863299"/>
    <w:rsid w:val="008632CD"/>
    <w:rsid w:val="0086344A"/>
    <w:rsid w:val="0086345C"/>
    <w:rsid w:val="00863763"/>
    <w:rsid w:val="00863770"/>
    <w:rsid w:val="008639E2"/>
    <w:rsid w:val="00863B5B"/>
    <w:rsid w:val="00863BAB"/>
    <w:rsid w:val="00863BCD"/>
    <w:rsid w:val="00863CAA"/>
    <w:rsid w:val="00864102"/>
    <w:rsid w:val="0086413C"/>
    <w:rsid w:val="008643A0"/>
    <w:rsid w:val="00864922"/>
    <w:rsid w:val="00864B5E"/>
    <w:rsid w:val="00864BBD"/>
    <w:rsid w:val="00864C56"/>
    <w:rsid w:val="00864CFE"/>
    <w:rsid w:val="00864FA3"/>
    <w:rsid w:val="00864FFB"/>
    <w:rsid w:val="00865944"/>
    <w:rsid w:val="00865A80"/>
    <w:rsid w:val="00865DA7"/>
    <w:rsid w:val="00865F00"/>
    <w:rsid w:val="00866011"/>
    <w:rsid w:val="008667BC"/>
    <w:rsid w:val="008668DD"/>
    <w:rsid w:val="00866950"/>
    <w:rsid w:val="00866A20"/>
    <w:rsid w:val="00866B2A"/>
    <w:rsid w:val="00866C99"/>
    <w:rsid w:val="00866CCA"/>
    <w:rsid w:val="00866D1B"/>
    <w:rsid w:val="00866F8F"/>
    <w:rsid w:val="00867087"/>
    <w:rsid w:val="008670B7"/>
    <w:rsid w:val="0086719A"/>
    <w:rsid w:val="0086739D"/>
    <w:rsid w:val="008674ED"/>
    <w:rsid w:val="008678B5"/>
    <w:rsid w:val="008678E1"/>
    <w:rsid w:val="00867AA1"/>
    <w:rsid w:val="00867C0A"/>
    <w:rsid w:val="00867CC9"/>
    <w:rsid w:val="00867FB1"/>
    <w:rsid w:val="00870660"/>
    <w:rsid w:val="008706E7"/>
    <w:rsid w:val="008708EF"/>
    <w:rsid w:val="008711F4"/>
    <w:rsid w:val="008711F5"/>
    <w:rsid w:val="008713C1"/>
    <w:rsid w:val="008715E8"/>
    <w:rsid w:val="00871725"/>
    <w:rsid w:val="00871A17"/>
    <w:rsid w:val="00871BAC"/>
    <w:rsid w:val="00871C7E"/>
    <w:rsid w:val="0087202D"/>
    <w:rsid w:val="0087218F"/>
    <w:rsid w:val="008722AC"/>
    <w:rsid w:val="00872300"/>
    <w:rsid w:val="008723D6"/>
    <w:rsid w:val="0087253C"/>
    <w:rsid w:val="008725B6"/>
    <w:rsid w:val="008725BF"/>
    <w:rsid w:val="008726E8"/>
    <w:rsid w:val="0087280F"/>
    <w:rsid w:val="00872970"/>
    <w:rsid w:val="00872B48"/>
    <w:rsid w:val="00872D82"/>
    <w:rsid w:val="00872DDD"/>
    <w:rsid w:val="00872E6D"/>
    <w:rsid w:val="00873091"/>
    <w:rsid w:val="00873148"/>
    <w:rsid w:val="00873205"/>
    <w:rsid w:val="00873450"/>
    <w:rsid w:val="00873668"/>
    <w:rsid w:val="00873687"/>
    <w:rsid w:val="00873730"/>
    <w:rsid w:val="00873979"/>
    <w:rsid w:val="00873D03"/>
    <w:rsid w:val="00873DB1"/>
    <w:rsid w:val="00873DD3"/>
    <w:rsid w:val="00873EF5"/>
    <w:rsid w:val="00874019"/>
    <w:rsid w:val="008742C9"/>
    <w:rsid w:val="0087442F"/>
    <w:rsid w:val="008745B6"/>
    <w:rsid w:val="0087468C"/>
    <w:rsid w:val="00874CB3"/>
    <w:rsid w:val="00875036"/>
    <w:rsid w:val="008750F1"/>
    <w:rsid w:val="00875661"/>
    <w:rsid w:val="0087569D"/>
    <w:rsid w:val="008757E2"/>
    <w:rsid w:val="00875874"/>
    <w:rsid w:val="00875BB0"/>
    <w:rsid w:val="00875D56"/>
    <w:rsid w:val="0087601B"/>
    <w:rsid w:val="00876159"/>
    <w:rsid w:val="008764A6"/>
    <w:rsid w:val="008766DE"/>
    <w:rsid w:val="008767AE"/>
    <w:rsid w:val="00876B13"/>
    <w:rsid w:val="00876B4E"/>
    <w:rsid w:val="00876BB7"/>
    <w:rsid w:val="008772ED"/>
    <w:rsid w:val="00877329"/>
    <w:rsid w:val="0087733F"/>
    <w:rsid w:val="0087737F"/>
    <w:rsid w:val="00877490"/>
    <w:rsid w:val="00877726"/>
    <w:rsid w:val="00877B11"/>
    <w:rsid w:val="00877B21"/>
    <w:rsid w:val="00877B22"/>
    <w:rsid w:val="00877B54"/>
    <w:rsid w:val="00877B9F"/>
    <w:rsid w:val="00877C93"/>
    <w:rsid w:val="00877D10"/>
    <w:rsid w:val="00880001"/>
    <w:rsid w:val="00880033"/>
    <w:rsid w:val="0088003C"/>
    <w:rsid w:val="0088015A"/>
    <w:rsid w:val="008805CB"/>
    <w:rsid w:val="008807BB"/>
    <w:rsid w:val="008808A3"/>
    <w:rsid w:val="0088090E"/>
    <w:rsid w:val="00880C4E"/>
    <w:rsid w:val="00880D6E"/>
    <w:rsid w:val="00880DB3"/>
    <w:rsid w:val="0088104B"/>
    <w:rsid w:val="0088126E"/>
    <w:rsid w:val="008814DC"/>
    <w:rsid w:val="00881636"/>
    <w:rsid w:val="00881885"/>
    <w:rsid w:val="008819FC"/>
    <w:rsid w:val="00881CC8"/>
    <w:rsid w:val="00881D08"/>
    <w:rsid w:val="00881D58"/>
    <w:rsid w:val="00881D67"/>
    <w:rsid w:val="00881FEA"/>
    <w:rsid w:val="0088202C"/>
    <w:rsid w:val="00882721"/>
    <w:rsid w:val="008827C7"/>
    <w:rsid w:val="008828BF"/>
    <w:rsid w:val="00882A1D"/>
    <w:rsid w:val="00882B80"/>
    <w:rsid w:val="00882F2E"/>
    <w:rsid w:val="00882FA9"/>
    <w:rsid w:val="0088343C"/>
    <w:rsid w:val="00883580"/>
    <w:rsid w:val="00883835"/>
    <w:rsid w:val="0088386C"/>
    <w:rsid w:val="00883896"/>
    <w:rsid w:val="0088396D"/>
    <w:rsid w:val="008839D8"/>
    <w:rsid w:val="0088411B"/>
    <w:rsid w:val="00884303"/>
    <w:rsid w:val="00884371"/>
    <w:rsid w:val="00884650"/>
    <w:rsid w:val="00884999"/>
    <w:rsid w:val="00884AD4"/>
    <w:rsid w:val="00884BC8"/>
    <w:rsid w:val="00884E10"/>
    <w:rsid w:val="00884F78"/>
    <w:rsid w:val="00885126"/>
    <w:rsid w:val="0088515C"/>
    <w:rsid w:val="00885581"/>
    <w:rsid w:val="008857EC"/>
    <w:rsid w:val="008857F4"/>
    <w:rsid w:val="00885828"/>
    <w:rsid w:val="008858D1"/>
    <w:rsid w:val="008859F0"/>
    <w:rsid w:val="00885A1B"/>
    <w:rsid w:val="00885BEF"/>
    <w:rsid w:val="00885CBE"/>
    <w:rsid w:val="00885D69"/>
    <w:rsid w:val="00885E9B"/>
    <w:rsid w:val="00886131"/>
    <w:rsid w:val="00886201"/>
    <w:rsid w:val="0088641F"/>
    <w:rsid w:val="008868CC"/>
    <w:rsid w:val="008868F1"/>
    <w:rsid w:val="0088694D"/>
    <w:rsid w:val="00886C9A"/>
    <w:rsid w:val="00886CAB"/>
    <w:rsid w:val="00886CD1"/>
    <w:rsid w:val="00886CEA"/>
    <w:rsid w:val="00886FDE"/>
    <w:rsid w:val="008870E6"/>
    <w:rsid w:val="008871DD"/>
    <w:rsid w:val="008873E4"/>
    <w:rsid w:val="00887626"/>
    <w:rsid w:val="00887667"/>
    <w:rsid w:val="0088768C"/>
    <w:rsid w:val="00887700"/>
    <w:rsid w:val="008877B5"/>
    <w:rsid w:val="00887B15"/>
    <w:rsid w:val="00887B3B"/>
    <w:rsid w:val="00887B7E"/>
    <w:rsid w:val="00887EDB"/>
    <w:rsid w:val="00890181"/>
    <w:rsid w:val="008901E8"/>
    <w:rsid w:val="008902C4"/>
    <w:rsid w:val="00890323"/>
    <w:rsid w:val="008903F9"/>
    <w:rsid w:val="008906E8"/>
    <w:rsid w:val="00890729"/>
    <w:rsid w:val="008907E4"/>
    <w:rsid w:val="008907FD"/>
    <w:rsid w:val="00890812"/>
    <w:rsid w:val="00890A1D"/>
    <w:rsid w:val="00890B09"/>
    <w:rsid w:val="00890FB8"/>
    <w:rsid w:val="0089104E"/>
    <w:rsid w:val="00891139"/>
    <w:rsid w:val="008912FE"/>
    <w:rsid w:val="00891437"/>
    <w:rsid w:val="0089151E"/>
    <w:rsid w:val="0089191B"/>
    <w:rsid w:val="0089194C"/>
    <w:rsid w:val="0089206D"/>
    <w:rsid w:val="008920A0"/>
    <w:rsid w:val="008922A0"/>
    <w:rsid w:val="008924DB"/>
    <w:rsid w:val="0089259C"/>
    <w:rsid w:val="008925FF"/>
    <w:rsid w:val="00892856"/>
    <w:rsid w:val="008929E1"/>
    <w:rsid w:val="00892AE1"/>
    <w:rsid w:val="00892B71"/>
    <w:rsid w:val="00892F78"/>
    <w:rsid w:val="008931F6"/>
    <w:rsid w:val="00893549"/>
    <w:rsid w:val="0089355C"/>
    <w:rsid w:val="00893684"/>
    <w:rsid w:val="00893804"/>
    <w:rsid w:val="008938F5"/>
    <w:rsid w:val="00893A35"/>
    <w:rsid w:val="00893BF4"/>
    <w:rsid w:val="00893E57"/>
    <w:rsid w:val="00893FF0"/>
    <w:rsid w:val="00894077"/>
    <w:rsid w:val="008941C6"/>
    <w:rsid w:val="00894355"/>
    <w:rsid w:val="0089453F"/>
    <w:rsid w:val="00894699"/>
    <w:rsid w:val="008946C7"/>
    <w:rsid w:val="0089471E"/>
    <w:rsid w:val="008949AC"/>
    <w:rsid w:val="008949FF"/>
    <w:rsid w:val="00894FB4"/>
    <w:rsid w:val="00895013"/>
    <w:rsid w:val="00895107"/>
    <w:rsid w:val="008951AD"/>
    <w:rsid w:val="008951E5"/>
    <w:rsid w:val="008954F1"/>
    <w:rsid w:val="008955A9"/>
    <w:rsid w:val="008957FA"/>
    <w:rsid w:val="008958FC"/>
    <w:rsid w:val="00895938"/>
    <w:rsid w:val="0089595A"/>
    <w:rsid w:val="00895DF4"/>
    <w:rsid w:val="00895F55"/>
    <w:rsid w:val="00895FBD"/>
    <w:rsid w:val="00896367"/>
    <w:rsid w:val="008964C0"/>
    <w:rsid w:val="00896508"/>
    <w:rsid w:val="008967AC"/>
    <w:rsid w:val="008967B3"/>
    <w:rsid w:val="00896C05"/>
    <w:rsid w:val="00896C84"/>
    <w:rsid w:val="00896CE4"/>
    <w:rsid w:val="00896D0D"/>
    <w:rsid w:val="00897088"/>
    <w:rsid w:val="00897153"/>
    <w:rsid w:val="0089734F"/>
    <w:rsid w:val="008973A1"/>
    <w:rsid w:val="0089772B"/>
    <w:rsid w:val="0089792A"/>
    <w:rsid w:val="00897CD6"/>
    <w:rsid w:val="00897F16"/>
    <w:rsid w:val="008A00F8"/>
    <w:rsid w:val="008A02E3"/>
    <w:rsid w:val="008A032A"/>
    <w:rsid w:val="008A064D"/>
    <w:rsid w:val="008A077B"/>
    <w:rsid w:val="008A09D2"/>
    <w:rsid w:val="008A0A2F"/>
    <w:rsid w:val="008A0BDC"/>
    <w:rsid w:val="008A0CE9"/>
    <w:rsid w:val="008A0E90"/>
    <w:rsid w:val="008A0F23"/>
    <w:rsid w:val="008A0F45"/>
    <w:rsid w:val="008A1053"/>
    <w:rsid w:val="008A1305"/>
    <w:rsid w:val="008A153E"/>
    <w:rsid w:val="008A1866"/>
    <w:rsid w:val="008A1A50"/>
    <w:rsid w:val="008A1A7E"/>
    <w:rsid w:val="008A1A9C"/>
    <w:rsid w:val="008A1D6A"/>
    <w:rsid w:val="008A1F9A"/>
    <w:rsid w:val="008A2127"/>
    <w:rsid w:val="008A2369"/>
    <w:rsid w:val="008A2434"/>
    <w:rsid w:val="008A24A7"/>
    <w:rsid w:val="008A252A"/>
    <w:rsid w:val="008A29EB"/>
    <w:rsid w:val="008A2ACC"/>
    <w:rsid w:val="008A2ADA"/>
    <w:rsid w:val="008A2BD4"/>
    <w:rsid w:val="008A2D56"/>
    <w:rsid w:val="008A3061"/>
    <w:rsid w:val="008A30B4"/>
    <w:rsid w:val="008A3220"/>
    <w:rsid w:val="008A3305"/>
    <w:rsid w:val="008A331E"/>
    <w:rsid w:val="008A36D1"/>
    <w:rsid w:val="008A37EB"/>
    <w:rsid w:val="008A38E9"/>
    <w:rsid w:val="008A397A"/>
    <w:rsid w:val="008A3C1F"/>
    <w:rsid w:val="008A3D72"/>
    <w:rsid w:val="008A3F35"/>
    <w:rsid w:val="008A3F9D"/>
    <w:rsid w:val="008A428E"/>
    <w:rsid w:val="008A445F"/>
    <w:rsid w:val="008A45C5"/>
    <w:rsid w:val="008A4931"/>
    <w:rsid w:val="008A4AD7"/>
    <w:rsid w:val="008A4D5D"/>
    <w:rsid w:val="008A4DCA"/>
    <w:rsid w:val="008A54FF"/>
    <w:rsid w:val="008A55E1"/>
    <w:rsid w:val="008A56A1"/>
    <w:rsid w:val="008A570A"/>
    <w:rsid w:val="008A5715"/>
    <w:rsid w:val="008A57E8"/>
    <w:rsid w:val="008A57F8"/>
    <w:rsid w:val="008A58BC"/>
    <w:rsid w:val="008A598A"/>
    <w:rsid w:val="008A59D0"/>
    <w:rsid w:val="008A5B52"/>
    <w:rsid w:val="008A5EDD"/>
    <w:rsid w:val="008A6462"/>
    <w:rsid w:val="008A6593"/>
    <w:rsid w:val="008A65BD"/>
    <w:rsid w:val="008A68A5"/>
    <w:rsid w:val="008A68AD"/>
    <w:rsid w:val="008A68F9"/>
    <w:rsid w:val="008A6A24"/>
    <w:rsid w:val="008A6AC7"/>
    <w:rsid w:val="008A6D95"/>
    <w:rsid w:val="008A6D99"/>
    <w:rsid w:val="008A6E30"/>
    <w:rsid w:val="008A6F69"/>
    <w:rsid w:val="008A6F8C"/>
    <w:rsid w:val="008A7101"/>
    <w:rsid w:val="008A7172"/>
    <w:rsid w:val="008A71D8"/>
    <w:rsid w:val="008A728A"/>
    <w:rsid w:val="008A7479"/>
    <w:rsid w:val="008A77C5"/>
    <w:rsid w:val="008A7984"/>
    <w:rsid w:val="008A7BE9"/>
    <w:rsid w:val="008A7C0C"/>
    <w:rsid w:val="008A7F1B"/>
    <w:rsid w:val="008B005D"/>
    <w:rsid w:val="008B00D7"/>
    <w:rsid w:val="008B0430"/>
    <w:rsid w:val="008B04BF"/>
    <w:rsid w:val="008B0643"/>
    <w:rsid w:val="008B080A"/>
    <w:rsid w:val="008B09BD"/>
    <w:rsid w:val="008B0A86"/>
    <w:rsid w:val="008B0B0E"/>
    <w:rsid w:val="008B0B38"/>
    <w:rsid w:val="008B0BCB"/>
    <w:rsid w:val="008B0BEB"/>
    <w:rsid w:val="008B0C7B"/>
    <w:rsid w:val="008B106C"/>
    <w:rsid w:val="008B10F6"/>
    <w:rsid w:val="008B117C"/>
    <w:rsid w:val="008B1206"/>
    <w:rsid w:val="008B1226"/>
    <w:rsid w:val="008B176A"/>
    <w:rsid w:val="008B17CB"/>
    <w:rsid w:val="008B182C"/>
    <w:rsid w:val="008B1864"/>
    <w:rsid w:val="008B18B5"/>
    <w:rsid w:val="008B1992"/>
    <w:rsid w:val="008B1A03"/>
    <w:rsid w:val="008B1A61"/>
    <w:rsid w:val="008B1B95"/>
    <w:rsid w:val="008B1BC4"/>
    <w:rsid w:val="008B1E5F"/>
    <w:rsid w:val="008B205C"/>
    <w:rsid w:val="008B22C9"/>
    <w:rsid w:val="008B26B9"/>
    <w:rsid w:val="008B27E6"/>
    <w:rsid w:val="008B290E"/>
    <w:rsid w:val="008B2949"/>
    <w:rsid w:val="008B2959"/>
    <w:rsid w:val="008B29A3"/>
    <w:rsid w:val="008B29C1"/>
    <w:rsid w:val="008B2C42"/>
    <w:rsid w:val="008B2C53"/>
    <w:rsid w:val="008B2C7B"/>
    <w:rsid w:val="008B2CC0"/>
    <w:rsid w:val="008B2EB3"/>
    <w:rsid w:val="008B2F92"/>
    <w:rsid w:val="008B3028"/>
    <w:rsid w:val="008B30E7"/>
    <w:rsid w:val="008B3142"/>
    <w:rsid w:val="008B3788"/>
    <w:rsid w:val="008B397E"/>
    <w:rsid w:val="008B3A69"/>
    <w:rsid w:val="008B3B4C"/>
    <w:rsid w:val="008B3E7F"/>
    <w:rsid w:val="008B3F0C"/>
    <w:rsid w:val="008B3F65"/>
    <w:rsid w:val="008B4063"/>
    <w:rsid w:val="008B4808"/>
    <w:rsid w:val="008B4965"/>
    <w:rsid w:val="008B49AF"/>
    <w:rsid w:val="008B4B22"/>
    <w:rsid w:val="008B4C2A"/>
    <w:rsid w:val="008B4C4C"/>
    <w:rsid w:val="008B4CE6"/>
    <w:rsid w:val="008B4CFD"/>
    <w:rsid w:val="008B4DC4"/>
    <w:rsid w:val="008B4E2C"/>
    <w:rsid w:val="008B5004"/>
    <w:rsid w:val="008B50FF"/>
    <w:rsid w:val="008B5470"/>
    <w:rsid w:val="008B5541"/>
    <w:rsid w:val="008B5590"/>
    <w:rsid w:val="008B5646"/>
    <w:rsid w:val="008B5877"/>
    <w:rsid w:val="008B589F"/>
    <w:rsid w:val="008B59E0"/>
    <w:rsid w:val="008B5A7C"/>
    <w:rsid w:val="008B5BE0"/>
    <w:rsid w:val="008B5D22"/>
    <w:rsid w:val="008B5DC3"/>
    <w:rsid w:val="008B5E33"/>
    <w:rsid w:val="008B5E49"/>
    <w:rsid w:val="008B6073"/>
    <w:rsid w:val="008B6298"/>
    <w:rsid w:val="008B6387"/>
    <w:rsid w:val="008B64BF"/>
    <w:rsid w:val="008B669B"/>
    <w:rsid w:val="008B677F"/>
    <w:rsid w:val="008B696C"/>
    <w:rsid w:val="008B6A8F"/>
    <w:rsid w:val="008B6D6D"/>
    <w:rsid w:val="008B6EA1"/>
    <w:rsid w:val="008B6F07"/>
    <w:rsid w:val="008B704C"/>
    <w:rsid w:val="008B73BD"/>
    <w:rsid w:val="008B747A"/>
    <w:rsid w:val="008B74ED"/>
    <w:rsid w:val="008B75AA"/>
    <w:rsid w:val="008B7610"/>
    <w:rsid w:val="008B7670"/>
    <w:rsid w:val="008B76BD"/>
    <w:rsid w:val="008B7839"/>
    <w:rsid w:val="008B787C"/>
    <w:rsid w:val="008B78F7"/>
    <w:rsid w:val="008B7D38"/>
    <w:rsid w:val="008B7DC1"/>
    <w:rsid w:val="008B7E88"/>
    <w:rsid w:val="008C03B2"/>
    <w:rsid w:val="008C0409"/>
    <w:rsid w:val="008C04A1"/>
    <w:rsid w:val="008C08D5"/>
    <w:rsid w:val="008C08EC"/>
    <w:rsid w:val="008C0943"/>
    <w:rsid w:val="008C0AF1"/>
    <w:rsid w:val="008C0B88"/>
    <w:rsid w:val="008C0EA6"/>
    <w:rsid w:val="008C106E"/>
    <w:rsid w:val="008C1366"/>
    <w:rsid w:val="008C13F9"/>
    <w:rsid w:val="008C149B"/>
    <w:rsid w:val="008C1590"/>
    <w:rsid w:val="008C1672"/>
    <w:rsid w:val="008C192D"/>
    <w:rsid w:val="008C198C"/>
    <w:rsid w:val="008C1B0E"/>
    <w:rsid w:val="008C1BCC"/>
    <w:rsid w:val="008C1D60"/>
    <w:rsid w:val="008C1D9D"/>
    <w:rsid w:val="008C1DE6"/>
    <w:rsid w:val="008C1E82"/>
    <w:rsid w:val="008C1EFF"/>
    <w:rsid w:val="008C22A3"/>
    <w:rsid w:val="008C24DC"/>
    <w:rsid w:val="008C260B"/>
    <w:rsid w:val="008C2AB0"/>
    <w:rsid w:val="008C2C3C"/>
    <w:rsid w:val="008C2E6A"/>
    <w:rsid w:val="008C2F58"/>
    <w:rsid w:val="008C3032"/>
    <w:rsid w:val="008C3170"/>
    <w:rsid w:val="008C3526"/>
    <w:rsid w:val="008C3534"/>
    <w:rsid w:val="008C3917"/>
    <w:rsid w:val="008C3A70"/>
    <w:rsid w:val="008C3AC7"/>
    <w:rsid w:val="008C3CB9"/>
    <w:rsid w:val="008C3CE3"/>
    <w:rsid w:val="008C3D78"/>
    <w:rsid w:val="008C3FC4"/>
    <w:rsid w:val="008C458E"/>
    <w:rsid w:val="008C4A8D"/>
    <w:rsid w:val="008C4B4F"/>
    <w:rsid w:val="008C4DDB"/>
    <w:rsid w:val="008C4DE7"/>
    <w:rsid w:val="008C4E74"/>
    <w:rsid w:val="008C5053"/>
    <w:rsid w:val="008C508A"/>
    <w:rsid w:val="008C5357"/>
    <w:rsid w:val="008C5459"/>
    <w:rsid w:val="008C5481"/>
    <w:rsid w:val="008C5552"/>
    <w:rsid w:val="008C55DC"/>
    <w:rsid w:val="008C569A"/>
    <w:rsid w:val="008C5889"/>
    <w:rsid w:val="008C5890"/>
    <w:rsid w:val="008C5906"/>
    <w:rsid w:val="008C5D21"/>
    <w:rsid w:val="008C5E22"/>
    <w:rsid w:val="008C65C7"/>
    <w:rsid w:val="008C671B"/>
    <w:rsid w:val="008C6765"/>
    <w:rsid w:val="008C68C4"/>
    <w:rsid w:val="008C6908"/>
    <w:rsid w:val="008C6B76"/>
    <w:rsid w:val="008C6BD0"/>
    <w:rsid w:val="008C705C"/>
    <w:rsid w:val="008C757C"/>
    <w:rsid w:val="008C75AC"/>
    <w:rsid w:val="008C75AF"/>
    <w:rsid w:val="008C7B4A"/>
    <w:rsid w:val="008C7F63"/>
    <w:rsid w:val="008D0307"/>
    <w:rsid w:val="008D054F"/>
    <w:rsid w:val="008D05A5"/>
    <w:rsid w:val="008D0668"/>
    <w:rsid w:val="008D06D1"/>
    <w:rsid w:val="008D0CB6"/>
    <w:rsid w:val="008D0E35"/>
    <w:rsid w:val="008D0ED2"/>
    <w:rsid w:val="008D0F61"/>
    <w:rsid w:val="008D0FED"/>
    <w:rsid w:val="008D141A"/>
    <w:rsid w:val="008D1700"/>
    <w:rsid w:val="008D1CD8"/>
    <w:rsid w:val="008D1D20"/>
    <w:rsid w:val="008D1D7D"/>
    <w:rsid w:val="008D1E26"/>
    <w:rsid w:val="008D2098"/>
    <w:rsid w:val="008D20D5"/>
    <w:rsid w:val="008D218D"/>
    <w:rsid w:val="008D22AD"/>
    <w:rsid w:val="008D22AF"/>
    <w:rsid w:val="008D22CF"/>
    <w:rsid w:val="008D26FF"/>
    <w:rsid w:val="008D2BF9"/>
    <w:rsid w:val="008D3102"/>
    <w:rsid w:val="008D32F1"/>
    <w:rsid w:val="008D3329"/>
    <w:rsid w:val="008D35AC"/>
    <w:rsid w:val="008D372D"/>
    <w:rsid w:val="008D37B3"/>
    <w:rsid w:val="008D38AB"/>
    <w:rsid w:val="008D3A09"/>
    <w:rsid w:val="008D3B79"/>
    <w:rsid w:val="008D3BD0"/>
    <w:rsid w:val="008D3BF6"/>
    <w:rsid w:val="008D3E36"/>
    <w:rsid w:val="008D3EC1"/>
    <w:rsid w:val="008D44F8"/>
    <w:rsid w:val="008D4579"/>
    <w:rsid w:val="008D46C5"/>
    <w:rsid w:val="008D4755"/>
    <w:rsid w:val="008D4AA8"/>
    <w:rsid w:val="008D4F5D"/>
    <w:rsid w:val="008D500B"/>
    <w:rsid w:val="008D5288"/>
    <w:rsid w:val="008D529B"/>
    <w:rsid w:val="008D52C5"/>
    <w:rsid w:val="008D55B4"/>
    <w:rsid w:val="008D56B0"/>
    <w:rsid w:val="008D5892"/>
    <w:rsid w:val="008D5951"/>
    <w:rsid w:val="008D5D21"/>
    <w:rsid w:val="008D5DDD"/>
    <w:rsid w:val="008D5E0A"/>
    <w:rsid w:val="008D5E0B"/>
    <w:rsid w:val="008D5EDC"/>
    <w:rsid w:val="008D5F25"/>
    <w:rsid w:val="008D5F64"/>
    <w:rsid w:val="008D5FB4"/>
    <w:rsid w:val="008D6013"/>
    <w:rsid w:val="008D6208"/>
    <w:rsid w:val="008D64E3"/>
    <w:rsid w:val="008D65B2"/>
    <w:rsid w:val="008D6A21"/>
    <w:rsid w:val="008D6AAF"/>
    <w:rsid w:val="008D6C0F"/>
    <w:rsid w:val="008D6E78"/>
    <w:rsid w:val="008D711C"/>
    <w:rsid w:val="008D75C3"/>
    <w:rsid w:val="008D77E5"/>
    <w:rsid w:val="008D7B83"/>
    <w:rsid w:val="008D7F49"/>
    <w:rsid w:val="008E00CC"/>
    <w:rsid w:val="008E067D"/>
    <w:rsid w:val="008E08ED"/>
    <w:rsid w:val="008E0901"/>
    <w:rsid w:val="008E09CC"/>
    <w:rsid w:val="008E0A61"/>
    <w:rsid w:val="008E0AB0"/>
    <w:rsid w:val="008E0B38"/>
    <w:rsid w:val="008E0F41"/>
    <w:rsid w:val="008E1295"/>
    <w:rsid w:val="008E18C2"/>
    <w:rsid w:val="008E1970"/>
    <w:rsid w:val="008E1B7F"/>
    <w:rsid w:val="008E1C39"/>
    <w:rsid w:val="008E1D31"/>
    <w:rsid w:val="008E1D98"/>
    <w:rsid w:val="008E1DA4"/>
    <w:rsid w:val="008E1E83"/>
    <w:rsid w:val="008E1EF7"/>
    <w:rsid w:val="008E1FB0"/>
    <w:rsid w:val="008E2188"/>
    <w:rsid w:val="008E218E"/>
    <w:rsid w:val="008E2358"/>
    <w:rsid w:val="008E2BB1"/>
    <w:rsid w:val="008E2C0C"/>
    <w:rsid w:val="008E2CE7"/>
    <w:rsid w:val="008E2E8F"/>
    <w:rsid w:val="008E2EF4"/>
    <w:rsid w:val="008E3028"/>
    <w:rsid w:val="008E3030"/>
    <w:rsid w:val="008E307F"/>
    <w:rsid w:val="008E30EF"/>
    <w:rsid w:val="008E3526"/>
    <w:rsid w:val="008E35AA"/>
    <w:rsid w:val="008E3721"/>
    <w:rsid w:val="008E3DC5"/>
    <w:rsid w:val="008E3E92"/>
    <w:rsid w:val="008E3ECD"/>
    <w:rsid w:val="008E3F5C"/>
    <w:rsid w:val="008E3FAE"/>
    <w:rsid w:val="008E4430"/>
    <w:rsid w:val="008E456E"/>
    <w:rsid w:val="008E4622"/>
    <w:rsid w:val="008E484F"/>
    <w:rsid w:val="008E48C5"/>
    <w:rsid w:val="008E4A8A"/>
    <w:rsid w:val="008E4C7F"/>
    <w:rsid w:val="008E4D4C"/>
    <w:rsid w:val="008E4FD7"/>
    <w:rsid w:val="008E5220"/>
    <w:rsid w:val="008E5316"/>
    <w:rsid w:val="008E537D"/>
    <w:rsid w:val="008E5410"/>
    <w:rsid w:val="008E5806"/>
    <w:rsid w:val="008E5A0D"/>
    <w:rsid w:val="008E5B4D"/>
    <w:rsid w:val="008E5B58"/>
    <w:rsid w:val="008E5D76"/>
    <w:rsid w:val="008E5E9A"/>
    <w:rsid w:val="008E5EBB"/>
    <w:rsid w:val="008E5FCE"/>
    <w:rsid w:val="008E60E7"/>
    <w:rsid w:val="008E61E8"/>
    <w:rsid w:val="008E63BC"/>
    <w:rsid w:val="008E6A3E"/>
    <w:rsid w:val="008E6CD4"/>
    <w:rsid w:val="008E6DF9"/>
    <w:rsid w:val="008E6EDB"/>
    <w:rsid w:val="008E6F41"/>
    <w:rsid w:val="008E74A9"/>
    <w:rsid w:val="008E75C9"/>
    <w:rsid w:val="008E7899"/>
    <w:rsid w:val="008E7AC9"/>
    <w:rsid w:val="008E7B1E"/>
    <w:rsid w:val="008E7B3A"/>
    <w:rsid w:val="008F01A8"/>
    <w:rsid w:val="008F049F"/>
    <w:rsid w:val="008F06FE"/>
    <w:rsid w:val="008F0795"/>
    <w:rsid w:val="008F086B"/>
    <w:rsid w:val="008F0892"/>
    <w:rsid w:val="008F0B8F"/>
    <w:rsid w:val="008F0DC5"/>
    <w:rsid w:val="008F0E05"/>
    <w:rsid w:val="008F1204"/>
    <w:rsid w:val="008F1353"/>
    <w:rsid w:val="008F1727"/>
    <w:rsid w:val="008F191F"/>
    <w:rsid w:val="008F1A34"/>
    <w:rsid w:val="008F1D74"/>
    <w:rsid w:val="008F1E79"/>
    <w:rsid w:val="008F2120"/>
    <w:rsid w:val="008F2267"/>
    <w:rsid w:val="008F23C4"/>
    <w:rsid w:val="008F2785"/>
    <w:rsid w:val="008F2825"/>
    <w:rsid w:val="008F2A3E"/>
    <w:rsid w:val="008F2ACA"/>
    <w:rsid w:val="008F2ACC"/>
    <w:rsid w:val="008F2B28"/>
    <w:rsid w:val="008F2BBE"/>
    <w:rsid w:val="008F2CA8"/>
    <w:rsid w:val="008F2CAD"/>
    <w:rsid w:val="008F2F03"/>
    <w:rsid w:val="008F31B3"/>
    <w:rsid w:val="008F31E0"/>
    <w:rsid w:val="008F351E"/>
    <w:rsid w:val="008F373C"/>
    <w:rsid w:val="008F3902"/>
    <w:rsid w:val="008F3B50"/>
    <w:rsid w:val="008F3D4C"/>
    <w:rsid w:val="008F3F80"/>
    <w:rsid w:val="008F40BD"/>
    <w:rsid w:val="008F43A6"/>
    <w:rsid w:val="008F43B2"/>
    <w:rsid w:val="008F46D4"/>
    <w:rsid w:val="008F4743"/>
    <w:rsid w:val="008F483C"/>
    <w:rsid w:val="008F4A7D"/>
    <w:rsid w:val="008F4B0A"/>
    <w:rsid w:val="008F4B6C"/>
    <w:rsid w:val="008F4F3D"/>
    <w:rsid w:val="008F501B"/>
    <w:rsid w:val="008F5331"/>
    <w:rsid w:val="008F54E8"/>
    <w:rsid w:val="008F5817"/>
    <w:rsid w:val="008F5B8F"/>
    <w:rsid w:val="008F5C7C"/>
    <w:rsid w:val="008F5CB7"/>
    <w:rsid w:val="008F5FBD"/>
    <w:rsid w:val="008F6097"/>
    <w:rsid w:val="008F60AC"/>
    <w:rsid w:val="008F637F"/>
    <w:rsid w:val="008F63E5"/>
    <w:rsid w:val="008F6525"/>
    <w:rsid w:val="008F6648"/>
    <w:rsid w:val="008F6778"/>
    <w:rsid w:val="008F6A74"/>
    <w:rsid w:val="008F6AC4"/>
    <w:rsid w:val="008F6AFC"/>
    <w:rsid w:val="008F6CC0"/>
    <w:rsid w:val="008F6D71"/>
    <w:rsid w:val="008F6D87"/>
    <w:rsid w:val="008F712D"/>
    <w:rsid w:val="008F7230"/>
    <w:rsid w:val="008F735B"/>
    <w:rsid w:val="008F77E5"/>
    <w:rsid w:val="008F78BE"/>
    <w:rsid w:val="008F7B21"/>
    <w:rsid w:val="008F7D08"/>
    <w:rsid w:val="009002DF"/>
    <w:rsid w:val="009003BB"/>
    <w:rsid w:val="009004EA"/>
    <w:rsid w:val="009004F2"/>
    <w:rsid w:val="009005B6"/>
    <w:rsid w:val="0090069B"/>
    <w:rsid w:val="009006E6"/>
    <w:rsid w:val="00900A07"/>
    <w:rsid w:val="00900AC8"/>
    <w:rsid w:val="00900BC4"/>
    <w:rsid w:val="00900C32"/>
    <w:rsid w:val="00900C37"/>
    <w:rsid w:val="00900E14"/>
    <w:rsid w:val="00900FD5"/>
    <w:rsid w:val="009013A2"/>
    <w:rsid w:val="0090154B"/>
    <w:rsid w:val="009015DD"/>
    <w:rsid w:val="009016D6"/>
    <w:rsid w:val="00901DC1"/>
    <w:rsid w:val="00901EC9"/>
    <w:rsid w:val="00901ED9"/>
    <w:rsid w:val="00902044"/>
    <w:rsid w:val="009020C6"/>
    <w:rsid w:val="00902312"/>
    <w:rsid w:val="0090234C"/>
    <w:rsid w:val="00902383"/>
    <w:rsid w:val="009023B3"/>
    <w:rsid w:val="0090242F"/>
    <w:rsid w:val="00902514"/>
    <w:rsid w:val="00902829"/>
    <w:rsid w:val="009028EB"/>
    <w:rsid w:val="00902AAB"/>
    <w:rsid w:val="00902C57"/>
    <w:rsid w:val="00902D36"/>
    <w:rsid w:val="00902D77"/>
    <w:rsid w:val="00902F15"/>
    <w:rsid w:val="00903204"/>
    <w:rsid w:val="00903747"/>
    <w:rsid w:val="00903842"/>
    <w:rsid w:val="00903859"/>
    <w:rsid w:val="00903873"/>
    <w:rsid w:val="00903A3F"/>
    <w:rsid w:val="00903ACE"/>
    <w:rsid w:val="00903B01"/>
    <w:rsid w:val="00903E18"/>
    <w:rsid w:val="00903F5A"/>
    <w:rsid w:val="00903FB4"/>
    <w:rsid w:val="00903FC4"/>
    <w:rsid w:val="009042C6"/>
    <w:rsid w:val="00904336"/>
    <w:rsid w:val="0090482E"/>
    <w:rsid w:val="00904916"/>
    <w:rsid w:val="00904A4D"/>
    <w:rsid w:val="00904ABD"/>
    <w:rsid w:val="00904B94"/>
    <w:rsid w:val="00904DE2"/>
    <w:rsid w:val="00904DEE"/>
    <w:rsid w:val="00904E2C"/>
    <w:rsid w:val="00904F8D"/>
    <w:rsid w:val="00905103"/>
    <w:rsid w:val="009051C1"/>
    <w:rsid w:val="00905242"/>
    <w:rsid w:val="00905246"/>
    <w:rsid w:val="009054DE"/>
    <w:rsid w:val="00905628"/>
    <w:rsid w:val="0090567D"/>
    <w:rsid w:val="0090573A"/>
    <w:rsid w:val="009057A9"/>
    <w:rsid w:val="0090592D"/>
    <w:rsid w:val="0090598D"/>
    <w:rsid w:val="009059A4"/>
    <w:rsid w:val="00905C2A"/>
    <w:rsid w:val="00905CA8"/>
    <w:rsid w:val="00905E1C"/>
    <w:rsid w:val="00905F33"/>
    <w:rsid w:val="009061F6"/>
    <w:rsid w:val="00906575"/>
    <w:rsid w:val="009065C6"/>
    <w:rsid w:val="00906777"/>
    <w:rsid w:val="009067FE"/>
    <w:rsid w:val="00906BB7"/>
    <w:rsid w:val="00906C74"/>
    <w:rsid w:val="009070A5"/>
    <w:rsid w:val="009071EF"/>
    <w:rsid w:val="00907650"/>
    <w:rsid w:val="009076EB"/>
    <w:rsid w:val="00907948"/>
    <w:rsid w:val="009079D2"/>
    <w:rsid w:val="00907A59"/>
    <w:rsid w:val="00907C30"/>
    <w:rsid w:val="00907F07"/>
    <w:rsid w:val="00907F5C"/>
    <w:rsid w:val="00910067"/>
    <w:rsid w:val="009101F3"/>
    <w:rsid w:val="00910219"/>
    <w:rsid w:val="009102DA"/>
    <w:rsid w:val="009109B7"/>
    <w:rsid w:val="00910D9F"/>
    <w:rsid w:val="00910F5A"/>
    <w:rsid w:val="00911154"/>
    <w:rsid w:val="00911203"/>
    <w:rsid w:val="00911551"/>
    <w:rsid w:val="00911B15"/>
    <w:rsid w:val="00911B69"/>
    <w:rsid w:val="00911CB1"/>
    <w:rsid w:val="00911E0A"/>
    <w:rsid w:val="009120F0"/>
    <w:rsid w:val="009120F6"/>
    <w:rsid w:val="0091216B"/>
    <w:rsid w:val="00912249"/>
    <w:rsid w:val="009122BF"/>
    <w:rsid w:val="009123F5"/>
    <w:rsid w:val="00912531"/>
    <w:rsid w:val="00912541"/>
    <w:rsid w:val="0091276F"/>
    <w:rsid w:val="009129A0"/>
    <w:rsid w:val="00912ABB"/>
    <w:rsid w:val="00912DE2"/>
    <w:rsid w:val="00912F1B"/>
    <w:rsid w:val="00912F58"/>
    <w:rsid w:val="00912FB2"/>
    <w:rsid w:val="00913331"/>
    <w:rsid w:val="009135F4"/>
    <w:rsid w:val="00913DD3"/>
    <w:rsid w:val="00913DEA"/>
    <w:rsid w:val="00913EC8"/>
    <w:rsid w:val="00913F49"/>
    <w:rsid w:val="00914295"/>
    <w:rsid w:val="00914510"/>
    <w:rsid w:val="009148B0"/>
    <w:rsid w:val="00914A8F"/>
    <w:rsid w:val="00914B81"/>
    <w:rsid w:val="00914C4F"/>
    <w:rsid w:val="009152F8"/>
    <w:rsid w:val="009156B5"/>
    <w:rsid w:val="00915765"/>
    <w:rsid w:val="00915949"/>
    <w:rsid w:val="00915A71"/>
    <w:rsid w:val="00915C41"/>
    <w:rsid w:val="00915F75"/>
    <w:rsid w:val="00916119"/>
    <w:rsid w:val="009162EF"/>
    <w:rsid w:val="009164B9"/>
    <w:rsid w:val="009164C9"/>
    <w:rsid w:val="00916800"/>
    <w:rsid w:val="00916889"/>
    <w:rsid w:val="00916972"/>
    <w:rsid w:val="00916AD6"/>
    <w:rsid w:val="00916E2B"/>
    <w:rsid w:val="00916E7D"/>
    <w:rsid w:val="00916F82"/>
    <w:rsid w:val="00916FB2"/>
    <w:rsid w:val="00916FD6"/>
    <w:rsid w:val="00917072"/>
    <w:rsid w:val="009170C9"/>
    <w:rsid w:val="009170EF"/>
    <w:rsid w:val="00917164"/>
    <w:rsid w:val="009176E9"/>
    <w:rsid w:val="00917B65"/>
    <w:rsid w:val="00917CEE"/>
    <w:rsid w:val="00917D57"/>
    <w:rsid w:val="00917EFB"/>
    <w:rsid w:val="00920044"/>
    <w:rsid w:val="009200CF"/>
    <w:rsid w:val="00920435"/>
    <w:rsid w:val="00920729"/>
    <w:rsid w:val="00920884"/>
    <w:rsid w:val="009208B6"/>
    <w:rsid w:val="009209D2"/>
    <w:rsid w:val="00920BBB"/>
    <w:rsid w:val="00920CE4"/>
    <w:rsid w:val="00920D38"/>
    <w:rsid w:val="00921018"/>
    <w:rsid w:val="0092107C"/>
    <w:rsid w:val="009211ED"/>
    <w:rsid w:val="00921309"/>
    <w:rsid w:val="0092148A"/>
    <w:rsid w:val="0092158E"/>
    <w:rsid w:val="00921601"/>
    <w:rsid w:val="009218CE"/>
    <w:rsid w:val="0092203E"/>
    <w:rsid w:val="0092249B"/>
    <w:rsid w:val="009224AD"/>
    <w:rsid w:val="00922739"/>
    <w:rsid w:val="0092286E"/>
    <w:rsid w:val="00922BCF"/>
    <w:rsid w:val="00922D72"/>
    <w:rsid w:val="00922FEF"/>
    <w:rsid w:val="0092332D"/>
    <w:rsid w:val="00923373"/>
    <w:rsid w:val="00923464"/>
    <w:rsid w:val="009235E5"/>
    <w:rsid w:val="009238F2"/>
    <w:rsid w:val="00923970"/>
    <w:rsid w:val="00923997"/>
    <w:rsid w:val="00923A23"/>
    <w:rsid w:val="00923A87"/>
    <w:rsid w:val="00923B1B"/>
    <w:rsid w:val="00923D9A"/>
    <w:rsid w:val="00923EDB"/>
    <w:rsid w:val="00924089"/>
    <w:rsid w:val="009240A7"/>
    <w:rsid w:val="009240DD"/>
    <w:rsid w:val="00924113"/>
    <w:rsid w:val="00924237"/>
    <w:rsid w:val="009243DC"/>
    <w:rsid w:val="009243F1"/>
    <w:rsid w:val="00924455"/>
    <w:rsid w:val="009245C5"/>
    <w:rsid w:val="0092485A"/>
    <w:rsid w:val="009248E8"/>
    <w:rsid w:val="009249FA"/>
    <w:rsid w:val="00924B0D"/>
    <w:rsid w:val="00924CD8"/>
    <w:rsid w:val="00924E10"/>
    <w:rsid w:val="0092523C"/>
    <w:rsid w:val="0092524F"/>
    <w:rsid w:val="0092536D"/>
    <w:rsid w:val="009255B8"/>
    <w:rsid w:val="00925614"/>
    <w:rsid w:val="009258F7"/>
    <w:rsid w:val="009259D3"/>
    <w:rsid w:val="00925B99"/>
    <w:rsid w:val="00925C36"/>
    <w:rsid w:val="00925D69"/>
    <w:rsid w:val="00925DF8"/>
    <w:rsid w:val="00925EED"/>
    <w:rsid w:val="00926232"/>
    <w:rsid w:val="00926542"/>
    <w:rsid w:val="0092685F"/>
    <w:rsid w:val="009269E6"/>
    <w:rsid w:val="00926DBC"/>
    <w:rsid w:val="00926EFC"/>
    <w:rsid w:val="00926FF5"/>
    <w:rsid w:val="0092725A"/>
    <w:rsid w:val="0092725D"/>
    <w:rsid w:val="00927417"/>
    <w:rsid w:val="00927455"/>
    <w:rsid w:val="00927663"/>
    <w:rsid w:val="00927788"/>
    <w:rsid w:val="00927956"/>
    <w:rsid w:val="009279FF"/>
    <w:rsid w:val="00927B7C"/>
    <w:rsid w:val="00927FDA"/>
    <w:rsid w:val="009300D1"/>
    <w:rsid w:val="00930149"/>
    <w:rsid w:val="00930500"/>
    <w:rsid w:val="009305CA"/>
    <w:rsid w:val="00930B53"/>
    <w:rsid w:val="00930B5B"/>
    <w:rsid w:val="00930C01"/>
    <w:rsid w:val="00930C0A"/>
    <w:rsid w:val="00930D4D"/>
    <w:rsid w:val="00930D86"/>
    <w:rsid w:val="00930E50"/>
    <w:rsid w:val="00930F98"/>
    <w:rsid w:val="00930FCB"/>
    <w:rsid w:val="009312F4"/>
    <w:rsid w:val="0093144E"/>
    <w:rsid w:val="009315E5"/>
    <w:rsid w:val="009316BE"/>
    <w:rsid w:val="009317E9"/>
    <w:rsid w:val="009318CE"/>
    <w:rsid w:val="00931C67"/>
    <w:rsid w:val="00931C7E"/>
    <w:rsid w:val="00931CC2"/>
    <w:rsid w:val="00931D91"/>
    <w:rsid w:val="009321AF"/>
    <w:rsid w:val="00932429"/>
    <w:rsid w:val="00932A10"/>
    <w:rsid w:val="00932ADD"/>
    <w:rsid w:val="00932B83"/>
    <w:rsid w:val="00932C89"/>
    <w:rsid w:val="00932DD5"/>
    <w:rsid w:val="00932E14"/>
    <w:rsid w:val="009330A4"/>
    <w:rsid w:val="0093362F"/>
    <w:rsid w:val="00933760"/>
    <w:rsid w:val="0093378B"/>
    <w:rsid w:val="009338BA"/>
    <w:rsid w:val="00933B98"/>
    <w:rsid w:val="00933E79"/>
    <w:rsid w:val="0093402A"/>
    <w:rsid w:val="00934089"/>
    <w:rsid w:val="00934300"/>
    <w:rsid w:val="00934447"/>
    <w:rsid w:val="00934476"/>
    <w:rsid w:val="00934559"/>
    <w:rsid w:val="0093455D"/>
    <w:rsid w:val="009346F2"/>
    <w:rsid w:val="00934946"/>
    <w:rsid w:val="0093495A"/>
    <w:rsid w:val="00934DDD"/>
    <w:rsid w:val="00934F7E"/>
    <w:rsid w:val="00934FBB"/>
    <w:rsid w:val="0093581E"/>
    <w:rsid w:val="0093588D"/>
    <w:rsid w:val="0093588F"/>
    <w:rsid w:val="009358CE"/>
    <w:rsid w:val="009359EB"/>
    <w:rsid w:val="00935A80"/>
    <w:rsid w:val="00935ACB"/>
    <w:rsid w:val="00935ED3"/>
    <w:rsid w:val="00935F08"/>
    <w:rsid w:val="00935F15"/>
    <w:rsid w:val="00936091"/>
    <w:rsid w:val="009365AE"/>
    <w:rsid w:val="00936784"/>
    <w:rsid w:val="00936791"/>
    <w:rsid w:val="00936803"/>
    <w:rsid w:val="009369A7"/>
    <w:rsid w:val="00936B60"/>
    <w:rsid w:val="00936BA7"/>
    <w:rsid w:val="00936CB7"/>
    <w:rsid w:val="00936DC8"/>
    <w:rsid w:val="00936F3F"/>
    <w:rsid w:val="00937072"/>
    <w:rsid w:val="00937252"/>
    <w:rsid w:val="00937264"/>
    <w:rsid w:val="0093728C"/>
    <w:rsid w:val="009373D5"/>
    <w:rsid w:val="00937482"/>
    <w:rsid w:val="00937703"/>
    <w:rsid w:val="009377A2"/>
    <w:rsid w:val="00937A08"/>
    <w:rsid w:val="00937C39"/>
    <w:rsid w:val="00937E0B"/>
    <w:rsid w:val="00940186"/>
    <w:rsid w:val="00940277"/>
    <w:rsid w:val="00940335"/>
    <w:rsid w:val="009403A6"/>
    <w:rsid w:val="009403CA"/>
    <w:rsid w:val="0094042F"/>
    <w:rsid w:val="009407DE"/>
    <w:rsid w:val="0094090E"/>
    <w:rsid w:val="009409D3"/>
    <w:rsid w:val="00940BA4"/>
    <w:rsid w:val="00940C80"/>
    <w:rsid w:val="00940D27"/>
    <w:rsid w:val="00940E4F"/>
    <w:rsid w:val="00940ECC"/>
    <w:rsid w:val="00940F5D"/>
    <w:rsid w:val="009410FD"/>
    <w:rsid w:val="00941132"/>
    <w:rsid w:val="009416CE"/>
    <w:rsid w:val="0094175F"/>
    <w:rsid w:val="009418B0"/>
    <w:rsid w:val="00941A2B"/>
    <w:rsid w:val="00941EE6"/>
    <w:rsid w:val="00942100"/>
    <w:rsid w:val="00942412"/>
    <w:rsid w:val="00942511"/>
    <w:rsid w:val="0094251A"/>
    <w:rsid w:val="00942656"/>
    <w:rsid w:val="009428CD"/>
    <w:rsid w:val="009429AB"/>
    <w:rsid w:val="00942F0C"/>
    <w:rsid w:val="00942F6F"/>
    <w:rsid w:val="00943147"/>
    <w:rsid w:val="00943201"/>
    <w:rsid w:val="009433C6"/>
    <w:rsid w:val="00943493"/>
    <w:rsid w:val="00943645"/>
    <w:rsid w:val="00943706"/>
    <w:rsid w:val="0094370F"/>
    <w:rsid w:val="0094379B"/>
    <w:rsid w:val="009439ED"/>
    <w:rsid w:val="009439F9"/>
    <w:rsid w:val="00943C4A"/>
    <w:rsid w:val="00943E58"/>
    <w:rsid w:val="00944021"/>
    <w:rsid w:val="00944593"/>
    <w:rsid w:val="00944740"/>
    <w:rsid w:val="009449CA"/>
    <w:rsid w:val="00944A7D"/>
    <w:rsid w:val="00944A8C"/>
    <w:rsid w:val="00944B68"/>
    <w:rsid w:val="0094512B"/>
    <w:rsid w:val="009451DA"/>
    <w:rsid w:val="009452FE"/>
    <w:rsid w:val="00945481"/>
    <w:rsid w:val="009454B3"/>
    <w:rsid w:val="00945531"/>
    <w:rsid w:val="00945594"/>
    <w:rsid w:val="0094586A"/>
    <w:rsid w:val="00945B05"/>
    <w:rsid w:val="00945C03"/>
    <w:rsid w:val="00945C34"/>
    <w:rsid w:val="00945CC5"/>
    <w:rsid w:val="0094609F"/>
    <w:rsid w:val="00946453"/>
    <w:rsid w:val="009464AB"/>
    <w:rsid w:val="009464BB"/>
    <w:rsid w:val="00946742"/>
    <w:rsid w:val="00946844"/>
    <w:rsid w:val="0094685B"/>
    <w:rsid w:val="00946E15"/>
    <w:rsid w:val="00946FBC"/>
    <w:rsid w:val="0094723E"/>
    <w:rsid w:val="00947473"/>
    <w:rsid w:val="00947482"/>
    <w:rsid w:val="0094768A"/>
    <w:rsid w:val="00947A29"/>
    <w:rsid w:val="00947A6B"/>
    <w:rsid w:val="00947D32"/>
    <w:rsid w:val="00947E69"/>
    <w:rsid w:val="00947F2B"/>
    <w:rsid w:val="00947FE8"/>
    <w:rsid w:val="00950492"/>
    <w:rsid w:val="009504DB"/>
    <w:rsid w:val="00950749"/>
    <w:rsid w:val="00950A38"/>
    <w:rsid w:val="00950B06"/>
    <w:rsid w:val="00950B17"/>
    <w:rsid w:val="00950B19"/>
    <w:rsid w:val="00950C1A"/>
    <w:rsid w:val="00950C30"/>
    <w:rsid w:val="00950C60"/>
    <w:rsid w:val="00950D56"/>
    <w:rsid w:val="00950E1F"/>
    <w:rsid w:val="00950EF8"/>
    <w:rsid w:val="009510C2"/>
    <w:rsid w:val="009518BC"/>
    <w:rsid w:val="00951C62"/>
    <w:rsid w:val="00951CA5"/>
    <w:rsid w:val="00951ED5"/>
    <w:rsid w:val="00951F1D"/>
    <w:rsid w:val="00951FD5"/>
    <w:rsid w:val="009521AD"/>
    <w:rsid w:val="009522AA"/>
    <w:rsid w:val="0095241D"/>
    <w:rsid w:val="009526E0"/>
    <w:rsid w:val="00952709"/>
    <w:rsid w:val="009527D8"/>
    <w:rsid w:val="00952A62"/>
    <w:rsid w:val="00952AE4"/>
    <w:rsid w:val="00952CD0"/>
    <w:rsid w:val="00952E95"/>
    <w:rsid w:val="00953135"/>
    <w:rsid w:val="00953164"/>
    <w:rsid w:val="009532C4"/>
    <w:rsid w:val="009533C2"/>
    <w:rsid w:val="009533E3"/>
    <w:rsid w:val="00953618"/>
    <w:rsid w:val="00953799"/>
    <w:rsid w:val="009538CA"/>
    <w:rsid w:val="00953D67"/>
    <w:rsid w:val="00953F49"/>
    <w:rsid w:val="00953FC8"/>
    <w:rsid w:val="009541B1"/>
    <w:rsid w:val="009542CC"/>
    <w:rsid w:val="00954467"/>
    <w:rsid w:val="00954857"/>
    <w:rsid w:val="009548A0"/>
    <w:rsid w:val="009548BB"/>
    <w:rsid w:val="00954B47"/>
    <w:rsid w:val="00954D8B"/>
    <w:rsid w:val="00954DD1"/>
    <w:rsid w:val="00954FB9"/>
    <w:rsid w:val="00954FF2"/>
    <w:rsid w:val="0095501E"/>
    <w:rsid w:val="00955149"/>
    <w:rsid w:val="0095516A"/>
    <w:rsid w:val="0095532C"/>
    <w:rsid w:val="009554D8"/>
    <w:rsid w:val="00955598"/>
    <w:rsid w:val="00955764"/>
    <w:rsid w:val="009557F2"/>
    <w:rsid w:val="00955AA8"/>
    <w:rsid w:val="00955B7F"/>
    <w:rsid w:val="00955BBD"/>
    <w:rsid w:val="00955CFE"/>
    <w:rsid w:val="00955D8C"/>
    <w:rsid w:val="00955E40"/>
    <w:rsid w:val="00955F10"/>
    <w:rsid w:val="00955F98"/>
    <w:rsid w:val="00955FFC"/>
    <w:rsid w:val="00956183"/>
    <w:rsid w:val="009562C0"/>
    <w:rsid w:val="0095663B"/>
    <w:rsid w:val="0095673D"/>
    <w:rsid w:val="0095690F"/>
    <w:rsid w:val="00956CAD"/>
    <w:rsid w:val="00956D20"/>
    <w:rsid w:val="00956D56"/>
    <w:rsid w:val="009571D3"/>
    <w:rsid w:val="0095760D"/>
    <w:rsid w:val="009576AC"/>
    <w:rsid w:val="00957A8B"/>
    <w:rsid w:val="00960055"/>
    <w:rsid w:val="00960176"/>
    <w:rsid w:val="00960214"/>
    <w:rsid w:val="0096022C"/>
    <w:rsid w:val="0096036B"/>
    <w:rsid w:val="009603B6"/>
    <w:rsid w:val="00960A73"/>
    <w:rsid w:val="00960BA3"/>
    <w:rsid w:val="00960BE9"/>
    <w:rsid w:val="00960CA9"/>
    <w:rsid w:val="00960DB5"/>
    <w:rsid w:val="009611F0"/>
    <w:rsid w:val="009616BE"/>
    <w:rsid w:val="0096172F"/>
    <w:rsid w:val="009617A9"/>
    <w:rsid w:val="009618AE"/>
    <w:rsid w:val="00961963"/>
    <w:rsid w:val="00961BB8"/>
    <w:rsid w:val="00961C00"/>
    <w:rsid w:val="00961EB3"/>
    <w:rsid w:val="00961F50"/>
    <w:rsid w:val="009620F5"/>
    <w:rsid w:val="009621F4"/>
    <w:rsid w:val="009623B3"/>
    <w:rsid w:val="00962449"/>
    <w:rsid w:val="00962E86"/>
    <w:rsid w:val="00962F7E"/>
    <w:rsid w:val="00963026"/>
    <w:rsid w:val="00963129"/>
    <w:rsid w:val="00963483"/>
    <w:rsid w:val="009634A3"/>
    <w:rsid w:val="0096363A"/>
    <w:rsid w:val="009637D1"/>
    <w:rsid w:val="00963A54"/>
    <w:rsid w:val="00963A6C"/>
    <w:rsid w:val="00964608"/>
    <w:rsid w:val="00964691"/>
    <w:rsid w:val="00964747"/>
    <w:rsid w:val="00964B3B"/>
    <w:rsid w:val="00964D44"/>
    <w:rsid w:val="00964D7D"/>
    <w:rsid w:val="00965257"/>
    <w:rsid w:val="0096526A"/>
    <w:rsid w:val="009652D5"/>
    <w:rsid w:val="0096531E"/>
    <w:rsid w:val="009658FC"/>
    <w:rsid w:val="00965936"/>
    <w:rsid w:val="00965B48"/>
    <w:rsid w:val="00966296"/>
    <w:rsid w:val="0096634D"/>
    <w:rsid w:val="0096654E"/>
    <w:rsid w:val="009665CA"/>
    <w:rsid w:val="0096673A"/>
    <w:rsid w:val="009667CA"/>
    <w:rsid w:val="00966889"/>
    <w:rsid w:val="00966A0B"/>
    <w:rsid w:val="00966D45"/>
    <w:rsid w:val="00967244"/>
    <w:rsid w:val="0096724C"/>
    <w:rsid w:val="0096727A"/>
    <w:rsid w:val="00967420"/>
    <w:rsid w:val="00967593"/>
    <w:rsid w:val="0096767A"/>
    <w:rsid w:val="00967AAC"/>
    <w:rsid w:val="00967D21"/>
    <w:rsid w:val="00970094"/>
    <w:rsid w:val="0097017B"/>
    <w:rsid w:val="009701C9"/>
    <w:rsid w:val="009706C0"/>
    <w:rsid w:val="009707D8"/>
    <w:rsid w:val="00970D10"/>
    <w:rsid w:val="00970DD0"/>
    <w:rsid w:val="00970EE3"/>
    <w:rsid w:val="0097109D"/>
    <w:rsid w:val="00971227"/>
    <w:rsid w:val="00971456"/>
    <w:rsid w:val="009715AB"/>
    <w:rsid w:val="0097169A"/>
    <w:rsid w:val="00971752"/>
    <w:rsid w:val="009717CE"/>
    <w:rsid w:val="00971A5A"/>
    <w:rsid w:val="00971CA2"/>
    <w:rsid w:val="00971DEC"/>
    <w:rsid w:val="00971E1D"/>
    <w:rsid w:val="0097200B"/>
    <w:rsid w:val="009721AA"/>
    <w:rsid w:val="009723E2"/>
    <w:rsid w:val="009724F5"/>
    <w:rsid w:val="00972606"/>
    <w:rsid w:val="009728EA"/>
    <w:rsid w:val="00972B4D"/>
    <w:rsid w:val="00972C17"/>
    <w:rsid w:val="00972DCF"/>
    <w:rsid w:val="00972E46"/>
    <w:rsid w:val="00972F30"/>
    <w:rsid w:val="00973140"/>
    <w:rsid w:val="0097319D"/>
    <w:rsid w:val="0097371B"/>
    <w:rsid w:val="009737B9"/>
    <w:rsid w:val="0097380C"/>
    <w:rsid w:val="00973813"/>
    <w:rsid w:val="009738BC"/>
    <w:rsid w:val="00973933"/>
    <w:rsid w:val="0097399A"/>
    <w:rsid w:val="00973FF6"/>
    <w:rsid w:val="00974039"/>
    <w:rsid w:val="00974084"/>
    <w:rsid w:val="0097418A"/>
    <w:rsid w:val="009743A0"/>
    <w:rsid w:val="009744CB"/>
    <w:rsid w:val="009744CD"/>
    <w:rsid w:val="009745C9"/>
    <w:rsid w:val="009747A2"/>
    <w:rsid w:val="00974B10"/>
    <w:rsid w:val="00974BF4"/>
    <w:rsid w:val="00974C48"/>
    <w:rsid w:val="00974EE1"/>
    <w:rsid w:val="00975038"/>
    <w:rsid w:val="009757EA"/>
    <w:rsid w:val="0097592A"/>
    <w:rsid w:val="0097593F"/>
    <w:rsid w:val="00975943"/>
    <w:rsid w:val="00975AD6"/>
    <w:rsid w:val="00975B9D"/>
    <w:rsid w:val="00975CE0"/>
    <w:rsid w:val="00975D14"/>
    <w:rsid w:val="00975F9C"/>
    <w:rsid w:val="00975FB7"/>
    <w:rsid w:val="0097611B"/>
    <w:rsid w:val="009761A5"/>
    <w:rsid w:val="0097647F"/>
    <w:rsid w:val="009767D0"/>
    <w:rsid w:val="009767E9"/>
    <w:rsid w:val="00976AB8"/>
    <w:rsid w:val="00976D23"/>
    <w:rsid w:val="00976F64"/>
    <w:rsid w:val="0097702A"/>
    <w:rsid w:val="0097713F"/>
    <w:rsid w:val="00977155"/>
    <w:rsid w:val="0097728D"/>
    <w:rsid w:val="0097753F"/>
    <w:rsid w:val="009776FC"/>
    <w:rsid w:val="00977716"/>
    <w:rsid w:val="0097775D"/>
    <w:rsid w:val="00977800"/>
    <w:rsid w:val="00977829"/>
    <w:rsid w:val="00977928"/>
    <w:rsid w:val="009779B3"/>
    <w:rsid w:val="009779E4"/>
    <w:rsid w:val="00977DAA"/>
    <w:rsid w:val="00977E87"/>
    <w:rsid w:val="00977ECD"/>
    <w:rsid w:val="00977FBE"/>
    <w:rsid w:val="00980275"/>
    <w:rsid w:val="009806E9"/>
    <w:rsid w:val="00980791"/>
    <w:rsid w:val="009807B7"/>
    <w:rsid w:val="00980960"/>
    <w:rsid w:val="00980B65"/>
    <w:rsid w:val="00980D0C"/>
    <w:rsid w:val="00980D5B"/>
    <w:rsid w:val="00980EDD"/>
    <w:rsid w:val="00980F84"/>
    <w:rsid w:val="00981039"/>
    <w:rsid w:val="00981325"/>
    <w:rsid w:val="00981441"/>
    <w:rsid w:val="00981554"/>
    <w:rsid w:val="009817C6"/>
    <w:rsid w:val="00981B47"/>
    <w:rsid w:val="00981CAC"/>
    <w:rsid w:val="00981E64"/>
    <w:rsid w:val="00981E80"/>
    <w:rsid w:val="009824F0"/>
    <w:rsid w:val="009829EF"/>
    <w:rsid w:val="009830B7"/>
    <w:rsid w:val="0098321A"/>
    <w:rsid w:val="009832E1"/>
    <w:rsid w:val="00983419"/>
    <w:rsid w:val="00983542"/>
    <w:rsid w:val="0098380E"/>
    <w:rsid w:val="0098393E"/>
    <w:rsid w:val="00983AF3"/>
    <w:rsid w:val="009844C6"/>
    <w:rsid w:val="0098451E"/>
    <w:rsid w:val="009846B0"/>
    <w:rsid w:val="009847EE"/>
    <w:rsid w:val="00984A6B"/>
    <w:rsid w:val="00984B08"/>
    <w:rsid w:val="00984C0E"/>
    <w:rsid w:val="00984E80"/>
    <w:rsid w:val="00984FB7"/>
    <w:rsid w:val="009850FE"/>
    <w:rsid w:val="00985153"/>
    <w:rsid w:val="00985331"/>
    <w:rsid w:val="0098539D"/>
    <w:rsid w:val="0098565B"/>
    <w:rsid w:val="00985905"/>
    <w:rsid w:val="009859B9"/>
    <w:rsid w:val="00985A0A"/>
    <w:rsid w:val="00985A91"/>
    <w:rsid w:val="00985BD9"/>
    <w:rsid w:val="00985CE9"/>
    <w:rsid w:val="00985EFB"/>
    <w:rsid w:val="00985FDA"/>
    <w:rsid w:val="00986324"/>
    <w:rsid w:val="00986329"/>
    <w:rsid w:val="00986334"/>
    <w:rsid w:val="0098638D"/>
    <w:rsid w:val="009863E1"/>
    <w:rsid w:val="00986462"/>
    <w:rsid w:val="00986585"/>
    <w:rsid w:val="0098680C"/>
    <w:rsid w:val="00986A03"/>
    <w:rsid w:val="00986AD0"/>
    <w:rsid w:val="00986F56"/>
    <w:rsid w:val="009871A3"/>
    <w:rsid w:val="009871D5"/>
    <w:rsid w:val="00987201"/>
    <w:rsid w:val="00987239"/>
    <w:rsid w:val="0098728A"/>
    <w:rsid w:val="009872BC"/>
    <w:rsid w:val="009874F2"/>
    <w:rsid w:val="00987936"/>
    <w:rsid w:val="00987B11"/>
    <w:rsid w:val="00987BFF"/>
    <w:rsid w:val="00987C5E"/>
    <w:rsid w:val="00987C97"/>
    <w:rsid w:val="00987ED5"/>
    <w:rsid w:val="00990137"/>
    <w:rsid w:val="009901DF"/>
    <w:rsid w:val="00990443"/>
    <w:rsid w:val="00990468"/>
    <w:rsid w:val="0099080E"/>
    <w:rsid w:val="00990B58"/>
    <w:rsid w:val="00990C38"/>
    <w:rsid w:val="00990CF9"/>
    <w:rsid w:val="00990D93"/>
    <w:rsid w:val="00990E1D"/>
    <w:rsid w:val="00990FF9"/>
    <w:rsid w:val="0099133E"/>
    <w:rsid w:val="00991571"/>
    <w:rsid w:val="00991C0B"/>
    <w:rsid w:val="00991E05"/>
    <w:rsid w:val="00991E93"/>
    <w:rsid w:val="00991EE3"/>
    <w:rsid w:val="00991EE9"/>
    <w:rsid w:val="00991FC6"/>
    <w:rsid w:val="00992074"/>
    <w:rsid w:val="00992126"/>
    <w:rsid w:val="00992205"/>
    <w:rsid w:val="0099273C"/>
    <w:rsid w:val="00992911"/>
    <w:rsid w:val="0099295F"/>
    <w:rsid w:val="00992B50"/>
    <w:rsid w:val="00992BA6"/>
    <w:rsid w:val="00992D3B"/>
    <w:rsid w:val="00992EA9"/>
    <w:rsid w:val="009933A9"/>
    <w:rsid w:val="009936D6"/>
    <w:rsid w:val="00993923"/>
    <w:rsid w:val="00993994"/>
    <w:rsid w:val="00993A67"/>
    <w:rsid w:val="00993E8B"/>
    <w:rsid w:val="00993FEF"/>
    <w:rsid w:val="009940E0"/>
    <w:rsid w:val="009941C6"/>
    <w:rsid w:val="0099433F"/>
    <w:rsid w:val="009945A8"/>
    <w:rsid w:val="00994B6A"/>
    <w:rsid w:val="00994C35"/>
    <w:rsid w:val="00994CDE"/>
    <w:rsid w:val="0099503F"/>
    <w:rsid w:val="00995139"/>
    <w:rsid w:val="009951CF"/>
    <w:rsid w:val="00995386"/>
    <w:rsid w:val="00995431"/>
    <w:rsid w:val="009958B4"/>
    <w:rsid w:val="009958DC"/>
    <w:rsid w:val="009959BF"/>
    <w:rsid w:val="009959D1"/>
    <w:rsid w:val="00995A7D"/>
    <w:rsid w:val="00995A8D"/>
    <w:rsid w:val="00995B2B"/>
    <w:rsid w:val="00995CE8"/>
    <w:rsid w:val="009960AB"/>
    <w:rsid w:val="00996434"/>
    <w:rsid w:val="009964AB"/>
    <w:rsid w:val="0099685E"/>
    <w:rsid w:val="00996875"/>
    <w:rsid w:val="0099687B"/>
    <w:rsid w:val="009969CC"/>
    <w:rsid w:val="00996B22"/>
    <w:rsid w:val="00996BAF"/>
    <w:rsid w:val="00996CB1"/>
    <w:rsid w:val="00996F4F"/>
    <w:rsid w:val="009970AD"/>
    <w:rsid w:val="009973B2"/>
    <w:rsid w:val="009977AB"/>
    <w:rsid w:val="009978DF"/>
    <w:rsid w:val="00997C56"/>
    <w:rsid w:val="00997CBF"/>
    <w:rsid w:val="00997DD3"/>
    <w:rsid w:val="00997DF3"/>
    <w:rsid w:val="00997E0D"/>
    <w:rsid w:val="009A0016"/>
    <w:rsid w:val="009A0117"/>
    <w:rsid w:val="009A03A0"/>
    <w:rsid w:val="009A0546"/>
    <w:rsid w:val="009A0611"/>
    <w:rsid w:val="009A0965"/>
    <w:rsid w:val="009A0C7A"/>
    <w:rsid w:val="009A0E9F"/>
    <w:rsid w:val="009A0F2C"/>
    <w:rsid w:val="009A11F2"/>
    <w:rsid w:val="009A126A"/>
    <w:rsid w:val="009A1388"/>
    <w:rsid w:val="009A1485"/>
    <w:rsid w:val="009A1527"/>
    <w:rsid w:val="009A156A"/>
    <w:rsid w:val="009A16F5"/>
    <w:rsid w:val="009A1839"/>
    <w:rsid w:val="009A1B6D"/>
    <w:rsid w:val="009A1C77"/>
    <w:rsid w:val="009A1D58"/>
    <w:rsid w:val="009A2051"/>
    <w:rsid w:val="009A25D1"/>
    <w:rsid w:val="009A27CF"/>
    <w:rsid w:val="009A2B47"/>
    <w:rsid w:val="009A2CB6"/>
    <w:rsid w:val="009A2D2D"/>
    <w:rsid w:val="009A2E20"/>
    <w:rsid w:val="009A2F83"/>
    <w:rsid w:val="009A32A8"/>
    <w:rsid w:val="009A391E"/>
    <w:rsid w:val="009A3B66"/>
    <w:rsid w:val="009A3BAD"/>
    <w:rsid w:val="009A3C40"/>
    <w:rsid w:val="009A3F11"/>
    <w:rsid w:val="009A42AC"/>
    <w:rsid w:val="009A44AA"/>
    <w:rsid w:val="009A4934"/>
    <w:rsid w:val="009A4AA0"/>
    <w:rsid w:val="009A4ABB"/>
    <w:rsid w:val="009A4F2E"/>
    <w:rsid w:val="009A5303"/>
    <w:rsid w:val="009A5672"/>
    <w:rsid w:val="009A588C"/>
    <w:rsid w:val="009A5951"/>
    <w:rsid w:val="009A59B7"/>
    <w:rsid w:val="009A5BE1"/>
    <w:rsid w:val="009A5BE4"/>
    <w:rsid w:val="009A5CDB"/>
    <w:rsid w:val="009A5D6E"/>
    <w:rsid w:val="009A5EB5"/>
    <w:rsid w:val="009A5F6B"/>
    <w:rsid w:val="009A651F"/>
    <w:rsid w:val="009A664A"/>
    <w:rsid w:val="009A665B"/>
    <w:rsid w:val="009A6D3B"/>
    <w:rsid w:val="009A6E40"/>
    <w:rsid w:val="009A7206"/>
    <w:rsid w:val="009A73CC"/>
    <w:rsid w:val="009A73FF"/>
    <w:rsid w:val="009A741E"/>
    <w:rsid w:val="009A7505"/>
    <w:rsid w:val="009A7520"/>
    <w:rsid w:val="009A78A1"/>
    <w:rsid w:val="009A78F2"/>
    <w:rsid w:val="009A7A22"/>
    <w:rsid w:val="009A7B97"/>
    <w:rsid w:val="009B001E"/>
    <w:rsid w:val="009B02F7"/>
    <w:rsid w:val="009B042A"/>
    <w:rsid w:val="009B04AA"/>
    <w:rsid w:val="009B087D"/>
    <w:rsid w:val="009B0B82"/>
    <w:rsid w:val="009B0B97"/>
    <w:rsid w:val="009B0E70"/>
    <w:rsid w:val="009B12A0"/>
    <w:rsid w:val="009B1427"/>
    <w:rsid w:val="009B146B"/>
    <w:rsid w:val="009B14D7"/>
    <w:rsid w:val="009B1781"/>
    <w:rsid w:val="009B181F"/>
    <w:rsid w:val="009B1B97"/>
    <w:rsid w:val="009B1E6F"/>
    <w:rsid w:val="009B1FEA"/>
    <w:rsid w:val="009B267A"/>
    <w:rsid w:val="009B2691"/>
    <w:rsid w:val="009B2728"/>
    <w:rsid w:val="009B2825"/>
    <w:rsid w:val="009B29C3"/>
    <w:rsid w:val="009B2E9F"/>
    <w:rsid w:val="009B346E"/>
    <w:rsid w:val="009B348F"/>
    <w:rsid w:val="009B35D8"/>
    <w:rsid w:val="009B37B6"/>
    <w:rsid w:val="009B385C"/>
    <w:rsid w:val="009B3ECD"/>
    <w:rsid w:val="009B410A"/>
    <w:rsid w:val="009B41C2"/>
    <w:rsid w:val="009B4286"/>
    <w:rsid w:val="009B439D"/>
    <w:rsid w:val="009B4415"/>
    <w:rsid w:val="009B467C"/>
    <w:rsid w:val="009B4B74"/>
    <w:rsid w:val="009B4B77"/>
    <w:rsid w:val="009B4DA6"/>
    <w:rsid w:val="009B527A"/>
    <w:rsid w:val="009B537E"/>
    <w:rsid w:val="009B5412"/>
    <w:rsid w:val="009B54BE"/>
    <w:rsid w:val="009B55BF"/>
    <w:rsid w:val="009B58A3"/>
    <w:rsid w:val="009B58D4"/>
    <w:rsid w:val="009B5C96"/>
    <w:rsid w:val="009B5CA7"/>
    <w:rsid w:val="009B5D57"/>
    <w:rsid w:val="009B5EAC"/>
    <w:rsid w:val="009B61FD"/>
    <w:rsid w:val="009B6707"/>
    <w:rsid w:val="009B6873"/>
    <w:rsid w:val="009B6AEB"/>
    <w:rsid w:val="009B6BED"/>
    <w:rsid w:val="009B6C97"/>
    <w:rsid w:val="009B6D8D"/>
    <w:rsid w:val="009B6EA2"/>
    <w:rsid w:val="009B6F10"/>
    <w:rsid w:val="009B6F49"/>
    <w:rsid w:val="009B6F60"/>
    <w:rsid w:val="009B76EB"/>
    <w:rsid w:val="009B79CC"/>
    <w:rsid w:val="009B7AF4"/>
    <w:rsid w:val="009B7BC1"/>
    <w:rsid w:val="009B7C50"/>
    <w:rsid w:val="009C01CD"/>
    <w:rsid w:val="009C027F"/>
    <w:rsid w:val="009C030C"/>
    <w:rsid w:val="009C0392"/>
    <w:rsid w:val="009C03CD"/>
    <w:rsid w:val="009C04E0"/>
    <w:rsid w:val="009C05EE"/>
    <w:rsid w:val="009C077C"/>
    <w:rsid w:val="009C07A5"/>
    <w:rsid w:val="009C09DF"/>
    <w:rsid w:val="009C0ABA"/>
    <w:rsid w:val="009C0B42"/>
    <w:rsid w:val="009C0BC5"/>
    <w:rsid w:val="009C0CC5"/>
    <w:rsid w:val="009C0D73"/>
    <w:rsid w:val="009C0F7E"/>
    <w:rsid w:val="009C1109"/>
    <w:rsid w:val="009C131D"/>
    <w:rsid w:val="009C1548"/>
    <w:rsid w:val="009C15B8"/>
    <w:rsid w:val="009C15E2"/>
    <w:rsid w:val="009C167F"/>
    <w:rsid w:val="009C16FC"/>
    <w:rsid w:val="009C1754"/>
    <w:rsid w:val="009C1ADE"/>
    <w:rsid w:val="009C1B39"/>
    <w:rsid w:val="009C1DAD"/>
    <w:rsid w:val="009C1DC1"/>
    <w:rsid w:val="009C208A"/>
    <w:rsid w:val="009C2122"/>
    <w:rsid w:val="009C21EE"/>
    <w:rsid w:val="009C220B"/>
    <w:rsid w:val="009C2238"/>
    <w:rsid w:val="009C249B"/>
    <w:rsid w:val="009C25B7"/>
    <w:rsid w:val="009C2650"/>
    <w:rsid w:val="009C2753"/>
    <w:rsid w:val="009C2D1A"/>
    <w:rsid w:val="009C300C"/>
    <w:rsid w:val="009C31A3"/>
    <w:rsid w:val="009C3370"/>
    <w:rsid w:val="009C368A"/>
    <w:rsid w:val="009C36F8"/>
    <w:rsid w:val="009C373F"/>
    <w:rsid w:val="009C380C"/>
    <w:rsid w:val="009C388A"/>
    <w:rsid w:val="009C393E"/>
    <w:rsid w:val="009C3C4E"/>
    <w:rsid w:val="009C3DFF"/>
    <w:rsid w:val="009C3EB3"/>
    <w:rsid w:val="009C3EBD"/>
    <w:rsid w:val="009C3F14"/>
    <w:rsid w:val="009C403A"/>
    <w:rsid w:val="009C40B1"/>
    <w:rsid w:val="009C423A"/>
    <w:rsid w:val="009C4354"/>
    <w:rsid w:val="009C46EC"/>
    <w:rsid w:val="009C4806"/>
    <w:rsid w:val="009C4843"/>
    <w:rsid w:val="009C4CBB"/>
    <w:rsid w:val="009C4D87"/>
    <w:rsid w:val="009C4E41"/>
    <w:rsid w:val="009C4EF2"/>
    <w:rsid w:val="009C50C0"/>
    <w:rsid w:val="009C5201"/>
    <w:rsid w:val="009C5484"/>
    <w:rsid w:val="009C548F"/>
    <w:rsid w:val="009C5570"/>
    <w:rsid w:val="009C55D2"/>
    <w:rsid w:val="009C5BBA"/>
    <w:rsid w:val="009C5CA0"/>
    <w:rsid w:val="009C5DA6"/>
    <w:rsid w:val="009C6048"/>
    <w:rsid w:val="009C61AB"/>
    <w:rsid w:val="009C62C1"/>
    <w:rsid w:val="009C6388"/>
    <w:rsid w:val="009C65EB"/>
    <w:rsid w:val="009C6A3E"/>
    <w:rsid w:val="009C6D0B"/>
    <w:rsid w:val="009C6D69"/>
    <w:rsid w:val="009C6DF2"/>
    <w:rsid w:val="009C7286"/>
    <w:rsid w:val="009C7289"/>
    <w:rsid w:val="009C72E8"/>
    <w:rsid w:val="009C7447"/>
    <w:rsid w:val="009C7703"/>
    <w:rsid w:val="009C7740"/>
    <w:rsid w:val="009C789B"/>
    <w:rsid w:val="009C79BE"/>
    <w:rsid w:val="009C7C98"/>
    <w:rsid w:val="009C7CF5"/>
    <w:rsid w:val="009C7D88"/>
    <w:rsid w:val="009D004B"/>
    <w:rsid w:val="009D010F"/>
    <w:rsid w:val="009D01B7"/>
    <w:rsid w:val="009D01C4"/>
    <w:rsid w:val="009D0275"/>
    <w:rsid w:val="009D05DE"/>
    <w:rsid w:val="009D07D5"/>
    <w:rsid w:val="009D0A04"/>
    <w:rsid w:val="009D0ABD"/>
    <w:rsid w:val="009D0B15"/>
    <w:rsid w:val="009D0B91"/>
    <w:rsid w:val="009D0B95"/>
    <w:rsid w:val="009D0C7E"/>
    <w:rsid w:val="009D0D06"/>
    <w:rsid w:val="009D1007"/>
    <w:rsid w:val="009D127F"/>
    <w:rsid w:val="009D168B"/>
    <w:rsid w:val="009D19D4"/>
    <w:rsid w:val="009D1DB2"/>
    <w:rsid w:val="009D1E8D"/>
    <w:rsid w:val="009D1EE2"/>
    <w:rsid w:val="009D1F60"/>
    <w:rsid w:val="009D210C"/>
    <w:rsid w:val="009D221B"/>
    <w:rsid w:val="009D2309"/>
    <w:rsid w:val="009D25A0"/>
    <w:rsid w:val="009D25D9"/>
    <w:rsid w:val="009D291C"/>
    <w:rsid w:val="009D2A01"/>
    <w:rsid w:val="009D2E27"/>
    <w:rsid w:val="009D2E77"/>
    <w:rsid w:val="009D31D3"/>
    <w:rsid w:val="009D3337"/>
    <w:rsid w:val="009D33C3"/>
    <w:rsid w:val="009D34CC"/>
    <w:rsid w:val="009D3A35"/>
    <w:rsid w:val="009D3B71"/>
    <w:rsid w:val="009D3E9A"/>
    <w:rsid w:val="009D4007"/>
    <w:rsid w:val="009D400B"/>
    <w:rsid w:val="009D4045"/>
    <w:rsid w:val="009D42F7"/>
    <w:rsid w:val="009D4628"/>
    <w:rsid w:val="009D464A"/>
    <w:rsid w:val="009D4C6B"/>
    <w:rsid w:val="009D4D1B"/>
    <w:rsid w:val="009D514D"/>
    <w:rsid w:val="009D51A7"/>
    <w:rsid w:val="009D51AA"/>
    <w:rsid w:val="009D5384"/>
    <w:rsid w:val="009D5446"/>
    <w:rsid w:val="009D54D4"/>
    <w:rsid w:val="009D559D"/>
    <w:rsid w:val="009D5629"/>
    <w:rsid w:val="009D5709"/>
    <w:rsid w:val="009D591F"/>
    <w:rsid w:val="009D5A4D"/>
    <w:rsid w:val="009D5B98"/>
    <w:rsid w:val="009D5C56"/>
    <w:rsid w:val="009D5C78"/>
    <w:rsid w:val="009D5CDB"/>
    <w:rsid w:val="009D5F51"/>
    <w:rsid w:val="009D605B"/>
    <w:rsid w:val="009D6108"/>
    <w:rsid w:val="009D61B6"/>
    <w:rsid w:val="009D61D5"/>
    <w:rsid w:val="009D62E0"/>
    <w:rsid w:val="009D633B"/>
    <w:rsid w:val="009D660A"/>
    <w:rsid w:val="009D68B3"/>
    <w:rsid w:val="009D6AC7"/>
    <w:rsid w:val="009D6B08"/>
    <w:rsid w:val="009D6DDE"/>
    <w:rsid w:val="009D6F49"/>
    <w:rsid w:val="009D6FAA"/>
    <w:rsid w:val="009D6FF0"/>
    <w:rsid w:val="009D7068"/>
    <w:rsid w:val="009D730F"/>
    <w:rsid w:val="009D74FC"/>
    <w:rsid w:val="009D76B5"/>
    <w:rsid w:val="009D772B"/>
    <w:rsid w:val="009D7808"/>
    <w:rsid w:val="009D7B38"/>
    <w:rsid w:val="009D7BC3"/>
    <w:rsid w:val="009E0028"/>
    <w:rsid w:val="009E0079"/>
    <w:rsid w:val="009E011E"/>
    <w:rsid w:val="009E05CA"/>
    <w:rsid w:val="009E05EA"/>
    <w:rsid w:val="009E066A"/>
    <w:rsid w:val="009E06D3"/>
    <w:rsid w:val="009E071C"/>
    <w:rsid w:val="009E08C5"/>
    <w:rsid w:val="009E0A5A"/>
    <w:rsid w:val="009E0B18"/>
    <w:rsid w:val="009E0BBC"/>
    <w:rsid w:val="009E0D76"/>
    <w:rsid w:val="009E0EE4"/>
    <w:rsid w:val="009E0FAA"/>
    <w:rsid w:val="009E1041"/>
    <w:rsid w:val="009E14A8"/>
    <w:rsid w:val="009E1A46"/>
    <w:rsid w:val="009E1BF2"/>
    <w:rsid w:val="009E2102"/>
    <w:rsid w:val="009E22C5"/>
    <w:rsid w:val="009E238E"/>
    <w:rsid w:val="009E2658"/>
    <w:rsid w:val="009E2AC0"/>
    <w:rsid w:val="009E2D51"/>
    <w:rsid w:val="009E2D60"/>
    <w:rsid w:val="009E2EB5"/>
    <w:rsid w:val="009E2F5A"/>
    <w:rsid w:val="009E3435"/>
    <w:rsid w:val="009E3436"/>
    <w:rsid w:val="009E3517"/>
    <w:rsid w:val="009E3619"/>
    <w:rsid w:val="009E409C"/>
    <w:rsid w:val="009E41A5"/>
    <w:rsid w:val="009E475F"/>
    <w:rsid w:val="009E4799"/>
    <w:rsid w:val="009E49D0"/>
    <w:rsid w:val="009E4D91"/>
    <w:rsid w:val="009E4E89"/>
    <w:rsid w:val="009E55C1"/>
    <w:rsid w:val="009E5600"/>
    <w:rsid w:val="009E59D1"/>
    <w:rsid w:val="009E5D0A"/>
    <w:rsid w:val="009E6129"/>
    <w:rsid w:val="009E6697"/>
    <w:rsid w:val="009E68AE"/>
    <w:rsid w:val="009E694C"/>
    <w:rsid w:val="009E69C5"/>
    <w:rsid w:val="009E69CB"/>
    <w:rsid w:val="009E6B62"/>
    <w:rsid w:val="009E6C29"/>
    <w:rsid w:val="009E6C4A"/>
    <w:rsid w:val="009E6D56"/>
    <w:rsid w:val="009E6D77"/>
    <w:rsid w:val="009E6F85"/>
    <w:rsid w:val="009E700F"/>
    <w:rsid w:val="009E70E9"/>
    <w:rsid w:val="009E7114"/>
    <w:rsid w:val="009E76EA"/>
    <w:rsid w:val="009E7731"/>
    <w:rsid w:val="009E775A"/>
    <w:rsid w:val="009E77D3"/>
    <w:rsid w:val="009E7AF5"/>
    <w:rsid w:val="009E7ECF"/>
    <w:rsid w:val="009F042C"/>
    <w:rsid w:val="009F0772"/>
    <w:rsid w:val="009F07EF"/>
    <w:rsid w:val="009F0A57"/>
    <w:rsid w:val="009F0C9A"/>
    <w:rsid w:val="009F0F71"/>
    <w:rsid w:val="009F1107"/>
    <w:rsid w:val="009F1326"/>
    <w:rsid w:val="009F14A4"/>
    <w:rsid w:val="009F1F57"/>
    <w:rsid w:val="009F1F7C"/>
    <w:rsid w:val="009F217C"/>
    <w:rsid w:val="009F2219"/>
    <w:rsid w:val="009F2286"/>
    <w:rsid w:val="009F246A"/>
    <w:rsid w:val="009F2C33"/>
    <w:rsid w:val="009F2CAE"/>
    <w:rsid w:val="009F2E37"/>
    <w:rsid w:val="009F2EA5"/>
    <w:rsid w:val="009F2ED4"/>
    <w:rsid w:val="009F31F4"/>
    <w:rsid w:val="009F333A"/>
    <w:rsid w:val="009F3575"/>
    <w:rsid w:val="009F3816"/>
    <w:rsid w:val="009F3992"/>
    <w:rsid w:val="009F427B"/>
    <w:rsid w:val="009F44C7"/>
    <w:rsid w:val="009F4F53"/>
    <w:rsid w:val="009F4FB9"/>
    <w:rsid w:val="009F5370"/>
    <w:rsid w:val="009F539F"/>
    <w:rsid w:val="009F574F"/>
    <w:rsid w:val="009F5757"/>
    <w:rsid w:val="009F57C4"/>
    <w:rsid w:val="009F598D"/>
    <w:rsid w:val="009F5C18"/>
    <w:rsid w:val="009F5F60"/>
    <w:rsid w:val="009F5FD6"/>
    <w:rsid w:val="009F6290"/>
    <w:rsid w:val="009F63ED"/>
    <w:rsid w:val="009F6536"/>
    <w:rsid w:val="009F670C"/>
    <w:rsid w:val="009F6957"/>
    <w:rsid w:val="009F6B53"/>
    <w:rsid w:val="009F6DC4"/>
    <w:rsid w:val="009F6F51"/>
    <w:rsid w:val="009F7273"/>
    <w:rsid w:val="009F7A4D"/>
    <w:rsid w:val="009F7AC0"/>
    <w:rsid w:val="009F7B11"/>
    <w:rsid w:val="00A00197"/>
    <w:rsid w:val="00A002F2"/>
    <w:rsid w:val="00A004A4"/>
    <w:rsid w:val="00A005B5"/>
    <w:rsid w:val="00A005F5"/>
    <w:rsid w:val="00A00776"/>
    <w:rsid w:val="00A00AB4"/>
    <w:rsid w:val="00A00BCE"/>
    <w:rsid w:val="00A00BF3"/>
    <w:rsid w:val="00A00E6D"/>
    <w:rsid w:val="00A00FF7"/>
    <w:rsid w:val="00A012D0"/>
    <w:rsid w:val="00A0147C"/>
    <w:rsid w:val="00A016A2"/>
    <w:rsid w:val="00A019A8"/>
    <w:rsid w:val="00A01C24"/>
    <w:rsid w:val="00A01D0B"/>
    <w:rsid w:val="00A01DB6"/>
    <w:rsid w:val="00A01F90"/>
    <w:rsid w:val="00A01FD6"/>
    <w:rsid w:val="00A027C3"/>
    <w:rsid w:val="00A02A6F"/>
    <w:rsid w:val="00A02BF7"/>
    <w:rsid w:val="00A02F23"/>
    <w:rsid w:val="00A030D9"/>
    <w:rsid w:val="00A03535"/>
    <w:rsid w:val="00A035D2"/>
    <w:rsid w:val="00A037AA"/>
    <w:rsid w:val="00A03946"/>
    <w:rsid w:val="00A039DC"/>
    <w:rsid w:val="00A03B13"/>
    <w:rsid w:val="00A03B22"/>
    <w:rsid w:val="00A03C2F"/>
    <w:rsid w:val="00A03C8D"/>
    <w:rsid w:val="00A03CD5"/>
    <w:rsid w:val="00A03E1C"/>
    <w:rsid w:val="00A04188"/>
    <w:rsid w:val="00A04269"/>
    <w:rsid w:val="00A042A4"/>
    <w:rsid w:val="00A048A6"/>
    <w:rsid w:val="00A04B67"/>
    <w:rsid w:val="00A05752"/>
    <w:rsid w:val="00A057E0"/>
    <w:rsid w:val="00A058CF"/>
    <w:rsid w:val="00A058E7"/>
    <w:rsid w:val="00A05AFB"/>
    <w:rsid w:val="00A05B55"/>
    <w:rsid w:val="00A05B6E"/>
    <w:rsid w:val="00A05D1A"/>
    <w:rsid w:val="00A05E19"/>
    <w:rsid w:val="00A05F1E"/>
    <w:rsid w:val="00A060B8"/>
    <w:rsid w:val="00A063D9"/>
    <w:rsid w:val="00A065EF"/>
    <w:rsid w:val="00A06618"/>
    <w:rsid w:val="00A0675F"/>
    <w:rsid w:val="00A06A5A"/>
    <w:rsid w:val="00A06B70"/>
    <w:rsid w:val="00A06B81"/>
    <w:rsid w:val="00A06DDA"/>
    <w:rsid w:val="00A07108"/>
    <w:rsid w:val="00A0727E"/>
    <w:rsid w:val="00A07A94"/>
    <w:rsid w:val="00A07E88"/>
    <w:rsid w:val="00A07FB5"/>
    <w:rsid w:val="00A10126"/>
    <w:rsid w:val="00A10470"/>
    <w:rsid w:val="00A1077D"/>
    <w:rsid w:val="00A1096C"/>
    <w:rsid w:val="00A10A05"/>
    <w:rsid w:val="00A10DEC"/>
    <w:rsid w:val="00A10F0F"/>
    <w:rsid w:val="00A11035"/>
    <w:rsid w:val="00A110E0"/>
    <w:rsid w:val="00A11476"/>
    <w:rsid w:val="00A1152F"/>
    <w:rsid w:val="00A1161A"/>
    <w:rsid w:val="00A11644"/>
    <w:rsid w:val="00A1196A"/>
    <w:rsid w:val="00A119CF"/>
    <w:rsid w:val="00A11AB2"/>
    <w:rsid w:val="00A11B98"/>
    <w:rsid w:val="00A11C66"/>
    <w:rsid w:val="00A11DB4"/>
    <w:rsid w:val="00A121AA"/>
    <w:rsid w:val="00A121D3"/>
    <w:rsid w:val="00A1223B"/>
    <w:rsid w:val="00A124A7"/>
    <w:rsid w:val="00A124C9"/>
    <w:rsid w:val="00A125FA"/>
    <w:rsid w:val="00A126D1"/>
    <w:rsid w:val="00A12840"/>
    <w:rsid w:val="00A128F3"/>
    <w:rsid w:val="00A1291A"/>
    <w:rsid w:val="00A12B74"/>
    <w:rsid w:val="00A12DF5"/>
    <w:rsid w:val="00A1311A"/>
    <w:rsid w:val="00A132F2"/>
    <w:rsid w:val="00A13394"/>
    <w:rsid w:val="00A135C0"/>
    <w:rsid w:val="00A13E66"/>
    <w:rsid w:val="00A13F70"/>
    <w:rsid w:val="00A13F86"/>
    <w:rsid w:val="00A141CF"/>
    <w:rsid w:val="00A142BD"/>
    <w:rsid w:val="00A147B9"/>
    <w:rsid w:val="00A149E4"/>
    <w:rsid w:val="00A14ACB"/>
    <w:rsid w:val="00A14AD7"/>
    <w:rsid w:val="00A14AED"/>
    <w:rsid w:val="00A14C9B"/>
    <w:rsid w:val="00A14EE7"/>
    <w:rsid w:val="00A15026"/>
    <w:rsid w:val="00A15128"/>
    <w:rsid w:val="00A1534F"/>
    <w:rsid w:val="00A157D2"/>
    <w:rsid w:val="00A15F97"/>
    <w:rsid w:val="00A1601B"/>
    <w:rsid w:val="00A16193"/>
    <w:rsid w:val="00A162D9"/>
    <w:rsid w:val="00A1631B"/>
    <w:rsid w:val="00A16334"/>
    <w:rsid w:val="00A164F2"/>
    <w:rsid w:val="00A168C7"/>
    <w:rsid w:val="00A168CE"/>
    <w:rsid w:val="00A168F6"/>
    <w:rsid w:val="00A16C49"/>
    <w:rsid w:val="00A16F61"/>
    <w:rsid w:val="00A17251"/>
    <w:rsid w:val="00A17333"/>
    <w:rsid w:val="00A175B8"/>
    <w:rsid w:val="00A177FB"/>
    <w:rsid w:val="00A17B95"/>
    <w:rsid w:val="00A20022"/>
    <w:rsid w:val="00A200AD"/>
    <w:rsid w:val="00A200B5"/>
    <w:rsid w:val="00A204B0"/>
    <w:rsid w:val="00A20741"/>
    <w:rsid w:val="00A209E5"/>
    <w:rsid w:val="00A20E35"/>
    <w:rsid w:val="00A20E73"/>
    <w:rsid w:val="00A20EC2"/>
    <w:rsid w:val="00A21124"/>
    <w:rsid w:val="00A2119D"/>
    <w:rsid w:val="00A2121C"/>
    <w:rsid w:val="00A213CB"/>
    <w:rsid w:val="00A21406"/>
    <w:rsid w:val="00A21704"/>
    <w:rsid w:val="00A217C7"/>
    <w:rsid w:val="00A21951"/>
    <w:rsid w:val="00A21AC1"/>
    <w:rsid w:val="00A21B8B"/>
    <w:rsid w:val="00A21BBA"/>
    <w:rsid w:val="00A21D61"/>
    <w:rsid w:val="00A21E7C"/>
    <w:rsid w:val="00A21FC0"/>
    <w:rsid w:val="00A2200F"/>
    <w:rsid w:val="00A220B8"/>
    <w:rsid w:val="00A22377"/>
    <w:rsid w:val="00A224DC"/>
    <w:rsid w:val="00A227FA"/>
    <w:rsid w:val="00A228AC"/>
    <w:rsid w:val="00A22934"/>
    <w:rsid w:val="00A22ABA"/>
    <w:rsid w:val="00A2301D"/>
    <w:rsid w:val="00A231F6"/>
    <w:rsid w:val="00A23310"/>
    <w:rsid w:val="00A2372F"/>
    <w:rsid w:val="00A237AD"/>
    <w:rsid w:val="00A2390D"/>
    <w:rsid w:val="00A23C41"/>
    <w:rsid w:val="00A23C9A"/>
    <w:rsid w:val="00A23CDB"/>
    <w:rsid w:val="00A23D24"/>
    <w:rsid w:val="00A23D3B"/>
    <w:rsid w:val="00A2402C"/>
    <w:rsid w:val="00A2453C"/>
    <w:rsid w:val="00A2459D"/>
    <w:rsid w:val="00A2480E"/>
    <w:rsid w:val="00A248DA"/>
    <w:rsid w:val="00A24A06"/>
    <w:rsid w:val="00A24A72"/>
    <w:rsid w:val="00A24AF1"/>
    <w:rsid w:val="00A24EF7"/>
    <w:rsid w:val="00A24F00"/>
    <w:rsid w:val="00A250B5"/>
    <w:rsid w:val="00A250F6"/>
    <w:rsid w:val="00A252C4"/>
    <w:rsid w:val="00A256B3"/>
    <w:rsid w:val="00A257D1"/>
    <w:rsid w:val="00A25A3C"/>
    <w:rsid w:val="00A25AB6"/>
    <w:rsid w:val="00A25AE5"/>
    <w:rsid w:val="00A25BA2"/>
    <w:rsid w:val="00A25E59"/>
    <w:rsid w:val="00A25EE2"/>
    <w:rsid w:val="00A25F35"/>
    <w:rsid w:val="00A260BD"/>
    <w:rsid w:val="00A260ED"/>
    <w:rsid w:val="00A26364"/>
    <w:rsid w:val="00A263E3"/>
    <w:rsid w:val="00A2641B"/>
    <w:rsid w:val="00A268D5"/>
    <w:rsid w:val="00A26A1C"/>
    <w:rsid w:val="00A26A91"/>
    <w:rsid w:val="00A26CC6"/>
    <w:rsid w:val="00A26DC0"/>
    <w:rsid w:val="00A26E64"/>
    <w:rsid w:val="00A26ED6"/>
    <w:rsid w:val="00A27327"/>
    <w:rsid w:val="00A27429"/>
    <w:rsid w:val="00A27577"/>
    <w:rsid w:val="00A27583"/>
    <w:rsid w:val="00A275A8"/>
    <w:rsid w:val="00A2771B"/>
    <w:rsid w:val="00A27727"/>
    <w:rsid w:val="00A27B69"/>
    <w:rsid w:val="00A27C25"/>
    <w:rsid w:val="00A27C8D"/>
    <w:rsid w:val="00A27CD0"/>
    <w:rsid w:val="00A300D4"/>
    <w:rsid w:val="00A301E5"/>
    <w:rsid w:val="00A302F3"/>
    <w:rsid w:val="00A306A1"/>
    <w:rsid w:val="00A3071A"/>
    <w:rsid w:val="00A308FB"/>
    <w:rsid w:val="00A30C6B"/>
    <w:rsid w:val="00A31237"/>
    <w:rsid w:val="00A312D7"/>
    <w:rsid w:val="00A3151E"/>
    <w:rsid w:val="00A315BE"/>
    <w:rsid w:val="00A31689"/>
    <w:rsid w:val="00A31A78"/>
    <w:rsid w:val="00A31AA7"/>
    <w:rsid w:val="00A31B6A"/>
    <w:rsid w:val="00A31BF2"/>
    <w:rsid w:val="00A31DD0"/>
    <w:rsid w:val="00A31EE9"/>
    <w:rsid w:val="00A32166"/>
    <w:rsid w:val="00A323FC"/>
    <w:rsid w:val="00A3258D"/>
    <w:rsid w:val="00A32636"/>
    <w:rsid w:val="00A328C3"/>
    <w:rsid w:val="00A329A1"/>
    <w:rsid w:val="00A32A0C"/>
    <w:rsid w:val="00A32CFA"/>
    <w:rsid w:val="00A32FFF"/>
    <w:rsid w:val="00A33248"/>
    <w:rsid w:val="00A332B7"/>
    <w:rsid w:val="00A332E3"/>
    <w:rsid w:val="00A33468"/>
    <w:rsid w:val="00A334F3"/>
    <w:rsid w:val="00A33747"/>
    <w:rsid w:val="00A33A00"/>
    <w:rsid w:val="00A33AC7"/>
    <w:rsid w:val="00A33B12"/>
    <w:rsid w:val="00A33CD2"/>
    <w:rsid w:val="00A33DFE"/>
    <w:rsid w:val="00A33F64"/>
    <w:rsid w:val="00A34090"/>
    <w:rsid w:val="00A340B3"/>
    <w:rsid w:val="00A34374"/>
    <w:rsid w:val="00A34411"/>
    <w:rsid w:val="00A346F0"/>
    <w:rsid w:val="00A348FE"/>
    <w:rsid w:val="00A34A1D"/>
    <w:rsid w:val="00A34D68"/>
    <w:rsid w:val="00A34DBE"/>
    <w:rsid w:val="00A34E68"/>
    <w:rsid w:val="00A3504C"/>
    <w:rsid w:val="00A350AC"/>
    <w:rsid w:val="00A350C2"/>
    <w:rsid w:val="00A350DF"/>
    <w:rsid w:val="00A35383"/>
    <w:rsid w:val="00A3546A"/>
    <w:rsid w:val="00A355EE"/>
    <w:rsid w:val="00A356C5"/>
    <w:rsid w:val="00A35A27"/>
    <w:rsid w:val="00A35B20"/>
    <w:rsid w:val="00A35C07"/>
    <w:rsid w:val="00A35E25"/>
    <w:rsid w:val="00A35ED2"/>
    <w:rsid w:val="00A35F20"/>
    <w:rsid w:val="00A3610C"/>
    <w:rsid w:val="00A36158"/>
    <w:rsid w:val="00A36319"/>
    <w:rsid w:val="00A367B4"/>
    <w:rsid w:val="00A36E41"/>
    <w:rsid w:val="00A371ED"/>
    <w:rsid w:val="00A372FC"/>
    <w:rsid w:val="00A37564"/>
    <w:rsid w:val="00A4007B"/>
    <w:rsid w:val="00A40139"/>
    <w:rsid w:val="00A40245"/>
    <w:rsid w:val="00A4036E"/>
    <w:rsid w:val="00A40558"/>
    <w:rsid w:val="00A4056A"/>
    <w:rsid w:val="00A409C2"/>
    <w:rsid w:val="00A40A98"/>
    <w:rsid w:val="00A40B89"/>
    <w:rsid w:val="00A40C47"/>
    <w:rsid w:val="00A40C9D"/>
    <w:rsid w:val="00A40DDE"/>
    <w:rsid w:val="00A40F44"/>
    <w:rsid w:val="00A41164"/>
    <w:rsid w:val="00A41380"/>
    <w:rsid w:val="00A415E5"/>
    <w:rsid w:val="00A41649"/>
    <w:rsid w:val="00A417A6"/>
    <w:rsid w:val="00A41924"/>
    <w:rsid w:val="00A41A6A"/>
    <w:rsid w:val="00A41A72"/>
    <w:rsid w:val="00A41C0A"/>
    <w:rsid w:val="00A41C95"/>
    <w:rsid w:val="00A41D6A"/>
    <w:rsid w:val="00A41EB4"/>
    <w:rsid w:val="00A41F01"/>
    <w:rsid w:val="00A42029"/>
    <w:rsid w:val="00A4203D"/>
    <w:rsid w:val="00A422F1"/>
    <w:rsid w:val="00A423AD"/>
    <w:rsid w:val="00A42733"/>
    <w:rsid w:val="00A42847"/>
    <w:rsid w:val="00A428E6"/>
    <w:rsid w:val="00A42A33"/>
    <w:rsid w:val="00A42AFB"/>
    <w:rsid w:val="00A42E50"/>
    <w:rsid w:val="00A42ECA"/>
    <w:rsid w:val="00A43019"/>
    <w:rsid w:val="00A431E9"/>
    <w:rsid w:val="00A4337A"/>
    <w:rsid w:val="00A43680"/>
    <w:rsid w:val="00A43690"/>
    <w:rsid w:val="00A43DBB"/>
    <w:rsid w:val="00A43E47"/>
    <w:rsid w:val="00A43EB8"/>
    <w:rsid w:val="00A44073"/>
    <w:rsid w:val="00A442B9"/>
    <w:rsid w:val="00A443FA"/>
    <w:rsid w:val="00A4446B"/>
    <w:rsid w:val="00A447AA"/>
    <w:rsid w:val="00A44B32"/>
    <w:rsid w:val="00A44C78"/>
    <w:rsid w:val="00A44E35"/>
    <w:rsid w:val="00A44F4D"/>
    <w:rsid w:val="00A44F77"/>
    <w:rsid w:val="00A450F4"/>
    <w:rsid w:val="00A453BA"/>
    <w:rsid w:val="00A4552D"/>
    <w:rsid w:val="00A45624"/>
    <w:rsid w:val="00A45A74"/>
    <w:rsid w:val="00A45B3F"/>
    <w:rsid w:val="00A45BDA"/>
    <w:rsid w:val="00A45BF6"/>
    <w:rsid w:val="00A45D86"/>
    <w:rsid w:val="00A46274"/>
    <w:rsid w:val="00A46513"/>
    <w:rsid w:val="00A46F9B"/>
    <w:rsid w:val="00A4716A"/>
    <w:rsid w:val="00A47289"/>
    <w:rsid w:val="00A472BF"/>
    <w:rsid w:val="00A47306"/>
    <w:rsid w:val="00A47349"/>
    <w:rsid w:val="00A47481"/>
    <w:rsid w:val="00A47676"/>
    <w:rsid w:val="00A5052C"/>
    <w:rsid w:val="00A509B9"/>
    <w:rsid w:val="00A50B21"/>
    <w:rsid w:val="00A50CE5"/>
    <w:rsid w:val="00A50CF1"/>
    <w:rsid w:val="00A50EBF"/>
    <w:rsid w:val="00A51222"/>
    <w:rsid w:val="00A51338"/>
    <w:rsid w:val="00A51480"/>
    <w:rsid w:val="00A51571"/>
    <w:rsid w:val="00A517B5"/>
    <w:rsid w:val="00A517FD"/>
    <w:rsid w:val="00A518E0"/>
    <w:rsid w:val="00A51927"/>
    <w:rsid w:val="00A51BC3"/>
    <w:rsid w:val="00A51C5E"/>
    <w:rsid w:val="00A521E6"/>
    <w:rsid w:val="00A524AD"/>
    <w:rsid w:val="00A524BD"/>
    <w:rsid w:val="00A524EE"/>
    <w:rsid w:val="00A526AA"/>
    <w:rsid w:val="00A52A28"/>
    <w:rsid w:val="00A52A57"/>
    <w:rsid w:val="00A52D4B"/>
    <w:rsid w:val="00A52F98"/>
    <w:rsid w:val="00A52FAD"/>
    <w:rsid w:val="00A53038"/>
    <w:rsid w:val="00A530DD"/>
    <w:rsid w:val="00A53130"/>
    <w:rsid w:val="00A531D4"/>
    <w:rsid w:val="00A531E1"/>
    <w:rsid w:val="00A5361A"/>
    <w:rsid w:val="00A5388A"/>
    <w:rsid w:val="00A53AA9"/>
    <w:rsid w:val="00A53D9A"/>
    <w:rsid w:val="00A53E32"/>
    <w:rsid w:val="00A54274"/>
    <w:rsid w:val="00A5436E"/>
    <w:rsid w:val="00A5449B"/>
    <w:rsid w:val="00A544A3"/>
    <w:rsid w:val="00A54784"/>
    <w:rsid w:val="00A547AB"/>
    <w:rsid w:val="00A5496F"/>
    <w:rsid w:val="00A54E43"/>
    <w:rsid w:val="00A54EAF"/>
    <w:rsid w:val="00A54FA8"/>
    <w:rsid w:val="00A55052"/>
    <w:rsid w:val="00A5506F"/>
    <w:rsid w:val="00A550C6"/>
    <w:rsid w:val="00A55209"/>
    <w:rsid w:val="00A55355"/>
    <w:rsid w:val="00A553C3"/>
    <w:rsid w:val="00A553C4"/>
    <w:rsid w:val="00A553C5"/>
    <w:rsid w:val="00A55428"/>
    <w:rsid w:val="00A5549E"/>
    <w:rsid w:val="00A55624"/>
    <w:rsid w:val="00A55666"/>
    <w:rsid w:val="00A5589F"/>
    <w:rsid w:val="00A558A3"/>
    <w:rsid w:val="00A55928"/>
    <w:rsid w:val="00A55AE8"/>
    <w:rsid w:val="00A55BA3"/>
    <w:rsid w:val="00A55D52"/>
    <w:rsid w:val="00A55E70"/>
    <w:rsid w:val="00A55FE1"/>
    <w:rsid w:val="00A5611D"/>
    <w:rsid w:val="00A561CE"/>
    <w:rsid w:val="00A563CD"/>
    <w:rsid w:val="00A563EE"/>
    <w:rsid w:val="00A564D8"/>
    <w:rsid w:val="00A566CB"/>
    <w:rsid w:val="00A569A1"/>
    <w:rsid w:val="00A569B8"/>
    <w:rsid w:val="00A56A15"/>
    <w:rsid w:val="00A56A9A"/>
    <w:rsid w:val="00A56C88"/>
    <w:rsid w:val="00A56C9E"/>
    <w:rsid w:val="00A56DE2"/>
    <w:rsid w:val="00A56E3A"/>
    <w:rsid w:val="00A5742C"/>
    <w:rsid w:val="00A576FE"/>
    <w:rsid w:val="00A57764"/>
    <w:rsid w:val="00A578A1"/>
    <w:rsid w:val="00A57DA0"/>
    <w:rsid w:val="00A60089"/>
    <w:rsid w:val="00A600E1"/>
    <w:rsid w:val="00A6031D"/>
    <w:rsid w:val="00A603DB"/>
    <w:rsid w:val="00A60424"/>
    <w:rsid w:val="00A604FD"/>
    <w:rsid w:val="00A605F0"/>
    <w:rsid w:val="00A60736"/>
    <w:rsid w:val="00A60918"/>
    <w:rsid w:val="00A60949"/>
    <w:rsid w:val="00A609E8"/>
    <w:rsid w:val="00A60A5B"/>
    <w:rsid w:val="00A60BAC"/>
    <w:rsid w:val="00A60C67"/>
    <w:rsid w:val="00A60F28"/>
    <w:rsid w:val="00A6128B"/>
    <w:rsid w:val="00A6129C"/>
    <w:rsid w:val="00A61425"/>
    <w:rsid w:val="00A61AFD"/>
    <w:rsid w:val="00A61CBE"/>
    <w:rsid w:val="00A61D8F"/>
    <w:rsid w:val="00A61DE2"/>
    <w:rsid w:val="00A62225"/>
    <w:rsid w:val="00A62281"/>
    <w:rsid w:val="00A6241D"/>
    <w:rsid w:val="00A624A4"/>
    <w:rsid w:val="00A626F8"/>
    <w:rsid w:val="00A62734"/>
    <w:rsid w:val="00A62813"/>
    <w:rsid w:val="00A629DF"/>
    <w:rsid w:val="00A62C20"/>
    <w:rsid w:val="00A62D07"/>
    <w:rsid w:val="00A62E94"/>
    <w:rsid w:val="00A62FAF"/>
    <w:rsid w:val="00A62FD4"/>
    <w:rsid w:val="00A63007"/>
    <w:rsid w:val="00A631EE"/>
    <w:rsid w:val="00A63729"/>
    <w:rsid w:val="00A63733"/>
    <w:rsid w:val="00A63F79"/>
    <w:rsid w:val="00A6402F"/>
    <w:rsid w:val="00A6427E"/>
    <w:rsid w:val="00A6463E"/>
    <w:rsid w:val="00A64C7E"/>
    <w:rsid w:val="00A65063"/>
    <w:rsid w:val="00A650A1"/>
    <w:rsid w:val="00A65307"/>
    <w:rsid w:val="00A65484"/>
    <w:rsid w:val="00A654AE"/>
    <w:rsid w:val="00A6550D"/>
    <w:rsid w:val="00A65B44"/>
    <w:rsid w:val="00A65B5C"/>
    <w:rsid w:val="00A65C87"/>
    <w:rsid w:val="00A65C9D"/>
    <w:rsid w:val="00A65CF1"/>
    <w:rsid w:val="00A65D15"/>
    <w:rsid w:val="00A65E9F"/>
    <w:rsid w:val="00A66123"/>
    <w:rsid w:val="00A6618F"/>
    <w:rsid w:val="00A6626F"/>
    <w:rsid w:val="00A66301"/>
    <w:rsid w:val="00A6632A"/>
    <w:rsid w:val="00A66486"/>
    <w:rsid w:val="00A666F5"/>
    <w:rsid w:val="00A6687D"/>
    <w:rsid w:val="00A6692F"/>
    <w:rsid w:val="00A66AD9"/>
    <w:rsid w:val="00A66C43"/>
    <w:rsid w:val="00A66C44"/>
    <w:rsid w:val="00A66CAE"/>
    <w:rsid w:val="00A66D5D"/>
    <w:rsid w:val="00A66D9F"/>
    <w:rsid w:val="00A6700F"/>
    <w:rsid w:val="00A673D9"/>
    <w:rsid w:val="00A67452"/>
    <w:rsid w:val="00A674F0"/>
    <w:rsid w:val="00A6763B"/>
    <w:rsid w:val="00A67654"/>
    <w:rsid w:val="00A67748"/>
    <w:rsid w:val="00A6780A"/>
    <w:rsid w:val="00A678D4"/>
    <w:rsid w:val="00A6797A"/>
    <w:rsid w:val="00A67ADD"/>
    <w:rsid w:val="00A67BA0"/>
    <w:rsid w:val="00A67E7E"/>
    <w:rsid w:val="00A67E87"/>
    <w:rsid w:val="00A67F4E"/>
    <w:rsid w:val="00A67FB4"/>
    <w:rsid w:val="00A70024"/>
    <w:rsid w:val="00A7012E"/>
    <w:rsid w:val="00A70336"/>
    <w:rsid w:val="00A706E1"/>
    <w:rsid w:val="00A7077E"/>
    <w:rsid w:val="00A708F7"/>
    <w:rsid w:val="00A709BC"/>
    <w:rsid w:val="00A70BF1"/>
    <w:rsid w:val="00A71487"/>
    <w:rsid w:val="00A719AB"/>
    <w:rsid w:val="00A71B98"/>
    <w:rsid w:val="00A71E12"/>
    <w:rsid w:val="00A71F6D"/>
    <w:rsid w:val="00A71FA9"/>
    <w:rsid w:val="00A720A5"/>
    <w:rsid w:val="00A724C9"/>
    <w:rsid w:val="00A72519"/>
    <w:rsid w:val="00A727A7"/>
    <w:rsid w:val="00A727E1"/>
    <w:rsid w:val="00A72B92"/>
    <w:rsid w:val="00A72EEC"/>
    <w:rsid w:val="00A7317E"/>
    <w:rsid w:val="00A73497"/>
    <w:rsid w:val="00A734A6"/>
    <w:rsid w:val="00A734C4"/>
    <w:rsid w:val="00A73753"/>
    <w:rsid w:val="00A73856"/>
    <w:rsid w:val="00A739DC"/>
    <w:rsid w:val="00A73A23"/>
    <w:rsid w:val="00A73BF9"/>
    <w:rsid w:val="00A73DE0"/>
    <w:rsid w:val="00A73E91"/>
    <w:rsid w:val="00A73F30"/>
    <w:rsid w:val="00A7404C"/>
    <w:rsid w:val="00A74560"/>
    <w:rsid w:val="00A74681"/>
    <w:rsid w:val="00A74799"/>
    <w:rsid w:val="00A747DB"/>
    <w:rsid w:val="00A74BD5"/>
    <w:rsid w:val="00A74C87"/>
    <w:rsid w:val="00A74F3E"/>
    <w:rsid w:val="00A74FE4"/>
    <w:rsid w:val="00A75030"/>
    <w:rsid w:val="00A7517A"/>
    <w:rsid w:val="00A751BA"/>
    <w:rsid w:val="00A75206"/>
    <w:rsid w:val="00A75239"/>
    <w:rsid w:val="00A757BA"/>
    <w:rsid w:val="00A75964"/>
    <w:rsid w:val="00A75B3F"/>
    <w:rsid w:val="00A75BF6"/>
    <w:rsid w:val="00A75CE3"/>
    <w:rsid w:val="00A75EB9"/>
    <w:rsid w:val="00A75FA9"/>
    <w:rsid w:val="00A75FB5"/>
    <w:rsid w:val="00A761E0"/>
    <w:rsid w:val="00A76234"/>
    <w:rsid w:val="00A76489"/>
    <w:rsid w:val="00A7648D"/>
    <w:rsid w:val="00A7668C"/>
    <w:rsid w:val="00A767F5"/>
    <w:rsid w:val="00A76882"/>
    <w:rsid w:val="00A76A40"/>
    <w:rsid w:val="00A76B10"/>
    <w:rsid w:val="00A76B1E"/>
    <w:rsid w:val="00A77084"/>
    <w:rsid w:val="00A7713D"/>
    <w:rsid w:val="00A771B6"/>
    <w:rsid w:val="00A7724D"/>
    <w:rsid w:val="00A7762C"/>
    <w:rsid w:val="00A77776"/>
    <w:rsid w:val="00A779F2"/>
    <w:rsid w:val="00A77B97"/>
    <w:rsid w:val="00A77B9E"/>
    <w:rsid w:val="00A80196"/>
    <w:rsid w:val="00A8029E"/>
    <w:rsid w:val="00A802D1"/>
    <w:rsid w:val="00A80664"/>
    <w:rsid w:val="00A80678"/>
    <w:rsid w:val="00A806AF"/>
    <w:rsid w:val="00A80738"/>
    <w:rsid w:val="00A8086F"/>
    <w:rsid w:val="00A80907"/>
    <w:rsid w:val="00A80B53"/>
    <w:rsid w:val="00A80B56"/>
    <w:rsid w:val="00A80BA4"/>
    <w:rsid w:val="00A80C21"/>
    <w:rsid w:val="00A80E33"/>
    <w:rsid w:val="00A81277"/>
    <w:rsid w:val="00A8151D"/>
    <w:rsid w:val="00A81A0F"/>
    <w:rsid w:val="00A81ADD"/>
    <w:rsid w:val="00A81B5A"/>
    <w:rsid w:val="00A81BB5"/>
    <w:rsid w:val="00A81E28"/>
    <w:rsid w:val="00A821AF"/>
    <w:rsid w:val="00A82555"/>
    <w:rsid w:val="00A82599"/>
    <w:rsid w:val="00A826F6"/>
    <w:rsid w:val="00A82A82"/>
    <w:rsid w:val="00A82AB3"/>
    <w:rsid w:val="00A82BB2"/>
    <w:rsid w:val="00A82CC5"/>
    <w:rsid w:val="00A82F56"/>
    <w:rsid w:val="00A83332"/>
    <w:rsid w:val="00A834E4"/>
    <w:rsid w:val="00A8378B"/>
    <w:rsid w:val="00A83846"/>
    <w:rsid w:val="00A83CCE"/>
    <w:rsid w:val="00A83D48"/>
    <w:rsid w:val="00A83F4A"/>
    <w:rsid w:val="00A840D5"/>
    <w:rsid w:val="00A84248"/>
    <w:rsid w:val="00A84906"/>
    <w:rsid w:val="00A84B7C"/>
    <w:rsid w:val="00A84B99"/>
    <w:rsid w:val="00A84CE0"/>
    <w:rsid w:val="00A84E1D"/>
    <w:rsid w:val="00A8506E"/>
    <w:rsid w:val="00A8507E"/>
    <w:rsid w:val="00A8517B"/>
    <w:rsid w:val="00A851DA"/>
    <w:rsid w:val="00A852D2"/>
    <w:rsid w:val="00A85403"/>
    <w:rsid w:val="00A85432"/>
    <w:rsid w:val="00A85AEC"/>
    <w:rsid w:val="00A85B2A"/>
    <w:rsid w:val="00A85B94"/>
    <w:rsid w:val="00A85FDC"/>
    <w:rsid w:val="00A86118"/>
    <w:rsid w:val="00A8616E"/>
    <w:rsid w:val="00A861D3"/>
    <w:rsid w:val="00A86679"/>
    <w:rsid w:val="00A86737"/>
    <w:rsid w:val="00A867DA"/>
    <w:rsid w:val="00A86AA4"/>
    <w:rsid w:val="00A86ABE"/>
    <w:rsid w:val="00A86E50"/>
    <w:rsid w:val="00A871AC"/>
    <w:rsid w:val="00A872D1"/>
    <w:rsid w:val="00A872E0"/>
    <w:rsid w:val="00A8732F"/>
    <w:rsid w:val="00A87368"/>
    <w:rsid w:val="00A87386"/>
    <w:rsid w:val="00A8741A"/>
    <w:rsid w:val="00A87630"/>
    <w:rsid w:val="00A877E3"/>
    <w:rsid w:val="00A879E1"/>
    <w:rsid w:val="00A87A5D"/>
    <w:rsid w:val="00A87B25"/>
    <w:rsid w:val="00A87C1D"/>
    <w:rsid w:val="00A87CBC"/>
    <w:rsid w:val="00A87DEB"/>
    <w:rsid w:val="00A900E7"/>
    <w:rsid w:val="00A90183"/>
    <w:rsid w:val="00A90210"/>
    <w:rsid w:val="00A9023C"/>
    <w:rsid w:val="00A90826"/>
    <w:rsid w:val="00A909C8"/>
    <w:rsid w:val="00A90E26"/>
    <w:rsid w:val="00A90F13"/>
    <w:rsid w:val="00A9106B"/>
    <w:rsid w:val="00A910ED"/>
    <w:rsid w:val="00A91139"/>
    <w:rsid w:val="00A911C1"/>
    <w:rsid w:val="00A91205"/>
    <w:rsid w:val="00A91374"/>
    <w:rsid w:val="00A913B1"/>
    <w:rsid w:val="00A91624"/>
    <w:rsid w:val="00A916D1"/>
    <w:rsid w:val="00A916F8"/>
    <w:rsid w:val="00A91AEB"/>
    <w:rsid w:val="00A91D67"/>
    <w:rsid w:val="00A91F0F"/>
    <w:rsid w:val="00A91FE9"/>
    <w:rsid w:val="00A92196"/>
    <w:rsid w:val="00A921E1"/>
    <w:rsid w:val="00A926A1"/>
    <w:rsid w:val="00A926FF"/>
    <w:rsid w:val="00A92789"/>
    <w:rsid w:val="00A927D5"/>
    <w:rsid w:val="00A92A1A"/>
    <w:rsid w:val="00A92BA3"/>
    <w:rsid w:val="00A92C0D"/>
    <w:rsid w:val="00A92DA1"/>
    <w:rsid w:val="00A92F12"/>
    <w:rsid w:val="00A92F83"/>
    <w:rsid w:val="00A931F9"/>
    <w:rsid w:val="00A93568"/>
    <w:rsid w:val="00A935A3"/>
    <w:rsid w:val="00A935C5"/>
    <w:rsid w:val="00A936CC"/>
    <w:rsid w:val="00A9377B"/>
    <w:rsid w:val="00A93824"/>
    <w:rsid w:val="00A93961"/>
    <w:rsid w:val="00A93AA7"/>
    <w:rsid w:val="00A941B3"/>
    <w:rsid w:val="00A94221"/>
    <w:rsid w:val="00A94652"/>
    <w:rsid w:val="00A948C5"/>
    <w:rsid w:val="00A949F6"/>
    <w:rsid w:val="00A94AB6"/>
    <w:rsid w:val="00A94E4B"/>
    <w:rsid w:val="00A94FD4"/>
    <w:rsid w:val="00A950F5"/>
    <w:rsid w:val="00A9519A"/>
    <w:rsid w:val="00A954EE"/>
    <w:rsid w:val="00A95513"/>
    <w:rsid w:val="00A95526"/>
    <w:rsid w:val="00A95ABD"/>
    <w:rsid w:val="00A95BA0"/>
    <w:rsid w:val="00A95BFF"/>
    <w:rsid w:val="00A95D4E"/>
    <w:rsid w:val="00A95D70"/>
    <w:rsid w:val="00A95EC2"/>
    <w:rsid w:val="00A96327"/>
    <w:rsid w:val="00A96360"/>
    <w:rsid w:val="00A965F1"/>
    <w:rsid w:val="00A968FC"/>
    <w:rsid w:val="00A9697B"/>
    <w:rsid w:val="00A9698B"/>
    <w:rsid w:val="00A969B9"/>
    <w:rsid w:val="00A969ED"/>
    <w:rsid w:val="00A96BAC"/>
    <w:rsid w:val="00A96BDD"/>
    <w:rsid w:val="00A96F31"/>
    <w:rsid w:val="00A9713D"/>
    <w:rsid w:val="00A9742C"/>
    <w:rsid w:val="00A975F8"/>
    <w:rsid w:val="00A97839"/>
    <w:rsid w:val="00A979AE"/>
    <w:rsid w:val="00A97AE3"/>
    <w:rsid w:val="00A97F0C"/>
    <w:rsid w:val="00AA01A6"/>
    <w:rsid w:val="00AA0276"/>
    <w:rsid w:val="00AA036E"/>
    <w:rsid w:val="00AA03F8"/>
    <w:rsid w:val="00AA0560"/>
    <w:rsid w:val="00AA0683"/>
    <w:rsid w:val="00AA0B61"/>
    <w:rsid w:val="00AA0EAC"/>
    <w:rsid w:val="00AA1229"/>
    <w:rsid w:val="00AA138D"/>
    <w:rsid w:val="00AA17DE"/>
    <w:rsid w:val="00AA1805"/>
    <w:rsid w:val="00AA1B09"/>
    <w:rsid w:val="00AA1EE2"/>
    <w:rsid w:val="00AA1FDD"/>
    <w:rsid w:val="00AA2679"/>
    <w:rsid w:val="00AA276D"/>
    <w:rsid w:val="00AA2897"/>
    <w:rsid w:val="00AA29CE"/>
    <w:rsid w:val="00AA2EB8"/>
    <w:rsid w:val="00AA303F"/>
    <w:rsid w:val="00AA3074"/>
    <w:rsid w:val="00AA3121"/>
    <w:rsid w:val="00AA352D"/>
    <w:rsid w:val="00AA3542"/>
    <w:rsid w:val="00AA3715"/>
    <w:rsid w:val="00AA3747"/>
    <w:rsid w:val="00AA383F"/>
    <w:rsid w:val="00AA388B"/>
    <w:rsid w:val="00AA38AE"/>
    <w:rsid w:val="00AA3A97"/>
    <w:rsid w:val="00AA3B39"/>
    <w:rsid w:val="00AA3D5D"/>
    <w:rsid w:val="00AA4167"/>
    <w:rsid w:val="00AA41C7"/>
    <w:rsid w:val="00AA42B6"/>
    <w:rsid w:val="00AA455A"/>
    <w:rsid w:val="00AA4958"/>
    <w:rsid w:val="00AA4C0F"/>
    <w:rsid w:val="00AA4D96"/>
    <w:rsid w:val="00AA4FBB"/>
    <w:rsid w:val="00AA508A"/>
    <w:rsid w:val="00AA5101"/>
    <w:rsid w:val="00AA51F4"/>
    <w:rsid w:val="00AA5491"/>
    <w:rsid w:val="00AA583D"/>
    <w:rsid w:val="00AA5932"/>
    <w:rsid w:val="00AA5945"/>
    <w:rsid w:val="00AA59C1"/>
    <w:rsid w:val="00AA5A0C"/>
    <w:rsid w:val="00AA5B00"/>
    <w:rsid w:val="00AA5EC1"/>
    <w:rsid w:val="00AA5EF5"/>
    <w:rsid w:val="00AA5F17"/>
    <w:rsid w:val="00AA5F87"/>
    <w:rsid w:val="00AA61D3"/>
    <w:rsid w:val="00AA61EA"/>
    <w:rsid w:val="00AA62FB"/>
    <w:rsid w:val="00AA6510"/>
    <w:rsid w:val="00AA66A9"/>
    <w:rsid w:val="00AA67B5"/>
    <w:rsid w:val="00AA6A27"/>
    <w:rsid w:val="00AA6AA1"/>
    <w:rsid w:val="00AA6BD9"/>
    <w:rsid w:val="00AA6BFF"/>
    <w:rsid w:val="00AA6D72"/>
    <w:rsid w:val="00AA6E74"/>
    <w:rsid w:val="00AA744F"/>
    <w:rsid w:val="00AA76E9"/>
    <w:rsid w:val="00AA783E"/>
    <w:rsid w:val="00AA79B8"/>
    <w:rsid w:val="00AA7BAB"/>
    <w:rsid w:val="00AA7E47"/>
    <w:rsid w:val="00AB00CF"/>
    <w:rsid w:val="00AB022C"/>
    <w:rsid w:val="00AB03D6"/>
    <w:rsid w:val="00AB03F6"/>
    <w:rsid w:val="00AB094C"/>
    <w:rsid w:val="00AB09C3"/>
    <w:rsid w:val="00AB09E8"/>
    <w:rsid w:val="00AB1314"/>
    <w:rsid w:val="00AB13AD"/>
    <w:rsid w:val="00AB13C6"/>
    <w:rsid w:val="00AB15BC"/>
    <w:rsid w:val="00AB1A28"/>
    <w:rsid w:val="00AB1B2C"/>
    <w:rsid w:val="00AB1B31"/>
    <w:rsid w:val="00AB22F5"/>
    <w:rsid w:val="00AB2550"/>
    <w:rsid w:val="00AB2621"/>
    <w:rsid w:val="00AB266E"/>
    <w:rsid w:val="00AB26A7"/>
    <w:rsid w:val="00AB280D"/>
    <w:rsid w:val="00AB28F3"/>
    <w:rsid w:val="00AB2923"/>
    <w:rsid w:val="00AB2B43"/>
    <w:rsid w:val="00AB2B48"/>
    <w:rsid w:val="00AB2B7F"/>
    <w:rsid w:val="00AB2F3D"/>
    <w:rsid w:val="00AB3016"/>
    <w:rsid w:val="00AB30CA"/>
    <w:rsid w:val="00AB3153"/>
    <w:rsid w:val="00AB335A"/>
    <w:rsid w:val="00AB368C"/>
    <w:rsid w:val="00AB36E9"/>
    <w:rsid w:val="00AB3A93"/>
    <w:rsid w:val="00AB3BC6"/>
    <w:rsid w:val="00AB3C20"/>
    <w:rsid w:val="00AB3C9C"/>
    <w:rsid w:val="00AB3D4A"/>
    <w:rsid w:val="00AB3F28"/>
    <w:rsid w:val="00AB439A"/>
    <w:rsid w:val="00AB455E"/>
    <w:rsid w:val="00AB458A"/>
    <w:rsid w:val="00AB46B4"/>
    <w:rsid w:val="00AB478D"/>
    <w:rsid w:val="00AB4C0A"/>
    <w:rsid w:val="00AB4E85"/>
    <w:rsid w:val="00AB54C2"/>
    <w:rsid w:val="00AB5AAE"/>
    <w:rsid w:val="00AB5AD8"/>
    <w:rsid w:val="00AB5B53"/>
    <w:rsid w:val="00AB5F65"/>
    <w:rsid w:val="00AB60ED"/>
    <w:rsid w:val="00AB625C"/>
    <w:rsid w:val="00AB6379"/>
    <w:rsid w:val="00AB63E7"/>
    <w:rsid w:val="00AB63FB"/>
    <w:rsid w:val="00AB6497"/>
    <w:rsid w:val="00AB64E0"/>
    <w:rsid w:val="00AB6533"/>
    <w:rsid w:val="00AB6578"/>
    <w:rsid w:val="00AB65E3"/>
    <w:rsid w:val="00AB6D2D"/>
    <w:rsid w:val="00AB6E16"/>
    <w:rsid w:val="00AB70EB"/>
    <w:rsid w:val="00AB70F5"/>
    <w:rsid w:val="00AB7204"/>
    <w:rsid w:val="00AB7602"/>
    <w:rsid w:val="00AB7921"/>
    <w:rsid w:val="00AB79F5"/>
    <w:rsid w:val="00AB7ABB"/>
    <w:rsid w:val="00AB7AE0"/>
    <w:rsid w:val="00AB7F6C"/>
    <w:rsid w:val="00AC02BB"/>
    <w:rsid w:val="00AC0509"/>
    <w:rsid w:val="00AC0580"/>
    <w:rsid w:val="00AC080D"/>
    <w:rsid w:val="00AC0910"/>
    <w:rsid w:val="00AC0C2F"/>
    <w:rsid w:val="00AC0DBA"/>
    <w:rsid w:val="00AC0F4F"/>
    <w:rsid w:val="00AC0FB0"/>
    <w:rsid w:val="00AC1075"/>
    <w:rsid w:val="00AC1347"/>
    <w:rsid w:val="00AC13AE"/>
    <w:rsid w:val="00AC1468"/>
    <w:rsid w:val="00AC149A"/>
    <w:rsid w:val="00AC15FD"/>
    <w:rsid w:val="00AC1B15"/>
    <w:rsid w:val="00AC1C79"/>
    <w:rsid w:val="00AC1D1A"/>
    <w:rsid w:val="00AC2097"/>
    <w:rsid w:val="00AC232F"/>
    <w:rsid w:val="00AC2352"/>
    <w:rsid w:val="00AC2353"/>
    <w:rsid w:val="00AC240A"/>
    <w:rsid w:val="00AC25CB"/>
    <w:rsid w:val="00AC2644"/>
    <w:rsid w:val="00AC2657"/>
    <w:rsid w:val="00AC2809"/>
    <w:rsid w:val="00AC2BA5"/>
    <w:rsid w:val="00AC2BF8"/>
    <w:rsid w:val="00AC324A"/>
    <w:rsid w:val="00AC330C"/>
    <w:rsid w:val="00AC34D3"/>
    <w:rsid w:val="00AC36C2"/>
    <w:rsid w:val="00AC3A02"/>
    <w:rsid w:val="00AC3A33"/>
    <w:rsid w:val="00AC3AE4"/>
    <w:rsid w:val="00AC3BC8"/>
    <w:rsid w:val="00AC3F5C"/>
    <w:rsid w:val="00AC4142"/>
    <w:rsid w:val="00AC4736"/>
    <w:rsid w:val="00AC48D3"/>
    <w:rsid w:val="00AC4BBC"/>
    <w:rsid w:val="00AC4C39"/>
    <w:rsid w:val="00AC4CDB"/>
    <w:rsid w:val="00AC50C9"/>
    <w:rsid w:val="00AC51B9"/>
    <w:rsid w:val="00AC51EE"/>
    <w:rsid w:val="00AC5432"/>
    <w:rsid w:val="00AC568C"/>
    <w:rsid w:val="00AC5962"/>
    <w:rsid w:val="00AC5ACC"/>
    <w:rsid w:val="00AC5B0D"/>
    <w:rsid w:val="00AC5C48"/>
    <w:rsid w:val="00AC6423"/>
    <w:rsid w:val="00AC665B"/>
    <w:rsid w:val="00AC6767"/>
    <w:rsid w:val="00AC6A56"/>
    <w:rsid w:val="00AC6B7A"/>
    <w:rsid w:val="00AC7035"/>
    <w:rsid w:val="00AC715B"/>
    <w:rsid w:val="00AC72D5"/>
    <w:rsid w:val="00AC7360"/>
    <w:rsid w:val="00AC74A9"/>
    <w:rsid w:val="00AC7B8E"/>
    <w:rsid w:val="00AC7BD8"/>
    <w:rsid w:val="00AC7EC7"/>
    <w:rsid w:val="00AC7EEE"/>
    <w:rsid w:val="00AC7F42"/>
    <w:rsid w:val="00AD00CA"/>
    <w:rsid w:val="00AD0204"/>
    <w:rsid w:val="00AD0229"/>
    <w:rsid w:val="00AD02A2"/>
    <w:rsid w:val="00AD08D2"/>
    <w:rsid w:val="00AD08E9"/>
    <w:rsid w:val="00AD096F"/>
    <w:rsid w:val="00AD0A34"/>
    <w:rsid w:val="00AD0D5F"/>
    <w:rsid w:val="00AD0E49"/>
    <w:rsid w:val="00AD0EC0"/>
    <w:rsid w:val="00AD1083"/>
    <w:rsid w:val="00AD108E"/>
    <w:rsid w:val="00AD13EC"/>
    <w:rsid w:val="00AD1545"/>
    <w:rsid w:val="00AD160B"/>
    <w:rsid w:val="00AD1847"/>
    <w:rsid w:val="00AD1F4E"/>
    <w:rsid w:val="00AD22AB"/>
    <w:rsid w:val="00AD25B0"/>
    <w:rsid w:val="00AD261B"/>
    <w:rsid w:val="00AD28A3"/>
    <w:rsid w:val="00AD28C2"/>
    <w:rsid w:val="00AD296C"/>
    <w:rsid w:val="00AD29C7"/>
    <w:rsid w:val="00AD2A42"/>
    <w:rsid w:val="00AD31E9"/>
    <w:rsid w:val="00AD3C8D"/>
    <w:rsid w:val="00AD3CB9"/>
    <w:rsid w:val="00AD45A9"/>
    <w:rsid w:val="00AD4793"/>
    <w:rsid w:val="00AD4959"/>
    <w:rsid w:val="00AD4AB7"/>
    <w:rsid w:val="00AD4B94"/>
    <w:rsid w:val="00AD4E89"/>
    <w:rsid w:val="00AD4EAD"/>
    <w:rsid w:val="00AD5127"/>
    <w:rsid w:val="00AD59F7"/>
    <w:rsid w:val="00AD5ABC"/>
    <w:rsid w:val="00AD5D81"/>
    <w:rsid w:val="00AD5F06"/>
    <w:rsid w:val="00AD6398"/>
    <w:rsid w:val="00AD6410"/>
    <w:rsid w:val="00AD66C1"/>
    <w:rsid w:val="00AD66DE"/>
    <w:rsid w:val="00AD69AD"/>
    <w:rsid w:val="00AD6B68"/>
    <w:rsid w:val="00AD6B83"/>
    <w:rsid w:val="00AD7165"/>
    <w:rsid w:val="00AD7180"/>
    <w:rsid w:val="00AD7269"/>
    <w:rsid w:val="00AD75BB"/>
    <w:rsid w:val="00AD76AA"/>
    <w:rsid w:val="00AD7724"/>
    <w:rsid w:val="00AD78CB"/>
    <w:rsid w:val="00AD78DF"/>
    <w:rsid w:val="00AD797F"/>
    <w:rsid w:val="00AD7CD0"/>
    <w:rsid w:val="00AD7EA6"/>
    <w:rsid w:val="00AD7F25"/>
    <w:rsid w:val="00AE059B"/>
    <w:rsid w:val="00AE08D8"/>
    <w:rsid w:val="00AE0C08"/>
    <w:rsid w:val="00AE0D9E"/>
    <w:rsid w:val="00AE0F1F"/>
    <w:rsid w:val="00AE13D2"/>
    <w:rsid w:val="00AE1503"/>
    <w:rsid w:val="00AE15AC"/>
    <w:rsid w:val="00AE15E2"/>
    <w:rsid w:val="00AE1719"/>
    <w:rsid w:val="00AE19D5"/>
    <w:rsid w:val="00AE1C51"/>
    <w:rsid w:val="00AE1CAB"/>
    <w:rsid w:val="00AE1CF9"/>
    <w:rsid w:val="00AE1F03"/>
    <w:rsid w:val="00AE1F15"/>
    <w:rsid w:val="00AE202E"/>
    <w:rsid w:val="00AE20CE"/>
    <w:rsid w:val="00AE20F2"/>
    <w:rsid w:val="00AE210E"/>
    <w:rsid w:val="00AE24D4"/>
    <w:rsid w:val="00AE24F5"/>
    <w:rsid w:val="00AE298F"/>
    <w:rsid w:val="00AE2ED3"/>
    <w:rsid w:val="00AE2F5A"/>
    <w:rsid w:val="00AE306F"/>
    <w:rsid w:val="00AE3167"/>
    <w:rsid w:val="00AE3352"/>
    <w:rsid w:val="00AE35AE"/>
    <w:rsid w:val="00AE363C"/>
    <w:rsid w:val="00AE366A"/>
    <w:rsid w:val="00AE36EC"/>
    <w:rsid w:val="00AE37A8"/>
    <w:rsid w:val="00AE3D69"/>
    <w:rsid w:val="00AE3FB1"/>
    <w:rsid w:val="00AE406C"/>
    <w:rsid w:val="00AE4175"/>
    <w:rsid w:val="00AE4265"/>
    <w:rsid w:val="00AE42CC"/>
    <w:rsid w:val="00AE4304"/>
    <w:rsid w:val="00AE43E0"/>
    <w:rsid w:val="00AE4534"/>
    <w:rsid w:val="00AE4575"/>
    <w:rsid w:val="00AE47CC"/>
    <w:rsid w:val="00AE482A"/>
    <w:rsid w:val="00AE4925"/>
    <w:rsid w:val="00AE4AC5"/>
    <w:rsid w:val="00AE4BD2"/>
    <w:rsid w:val="00AE4F8D"/>
    <w:rsid w:val="00AE50FD"/>
    <w:rsid w:val="00AE5662"/>
    <w:rsid w:val="00AE56F2"/>
    <w:rsid w:val="00AE575C"/>
    <w:rsid w:val="00AE589C"/>
    <w:rsid w:val="00AE5A83"/>
    <w:rsid w:val="00AE5C87"/>
    <w:rsid w:val="00AE5F22"/>
    <w:rsid w:val="00AE5F64"/>
    <w:rsid w:val="00AE5FE3"/>
    <w:rsid w:val="00AE60AB"/>
    <w:rsid w:val="00AE6255"/>
    <w:rsid w:val="00AE6790"/>
    <w:rsid w:val="00AE6C3E"/>
    <w:rsid w:val="00AE6D47"/>
    <w:rsid w:val="00AE6D85"/>
    <w:rsid w:val="00AE70B7"/>
    <w:rsid w:val="00AE70C8"/>
    <w:rsid w:val="00AE72F3"/>
    <w:rsid w:val="00AE76C3"/>
    <w:rsid w:val="00AE7820"/>
    <w:rsid w:val="00AE7904"/>
    <w:rsid w:val="00AE7A26"/>
    <w:rsid w:val="00AE7D00"/>
    <w:rsid w:val="00AE7DD6"/>
    <w:rsid w:val="00AF01AD"/>
    <w:rsid w:val="00AF038A"/>
    <w:rsid w:val="00AF0A4A"/>
    <w:rsid w:val="00AF0C27"/>
    <w:rsid w:val="00AF0D28"/>
    <w:rsid w:val="00AF0F68"/>
    <w:rsid w:val="00AF1095"/>
    <w:rsid w:val="00AF10FB"/>
    <w:rsid w:val="00AF12C7"/>
    <w:rsid w:val="00AF15D5"/>
    <w:rsid w:val="00AF1608"/>
    <w:rsid w:val="00AF1703"/>
    <w:rsid w:val="00AF1908"/>
    <w:rsid w:val="00AF1ADC"/>
    <w:rsid w:val="00AF1BD3"/>
    <w:rsid w:val="00AF207A"/>
    <w:rsid w:val="00AF21C6"/>
    <w:rsid w:val="00AF23EB"/>
    <w:rsid w:val="00AF260A"/>
    <w:rsid w:val="00AF278D"/>
    <w:rsid w:val="00AF2A55"/>
    <w:rsid w:val="00AF2A72"/>
    <w:rsid w:val="00AF2B46"/>
    <w:rsid w:val="00AF2E7F"/>
    <w:rsid w:val="00AF3148"/>
    <w:rsid w:val="00AF3303"/>
    <w:rsid w:val="00AF3412"/>
    <w:rsid w:val="00AF3A20"/>
    <w:rsid w:val="00AF3A93"/>
    <w:rsid w:val="00AF3C22"/>
    <w:rsid w:val="00AF3E76"/>
    <w:rsid w:val="00AF4005"/>
    <w:rsid w:val="00AF4220"/>
    <w:rsid w:val="00AF472B"/>
    <w:rsid w:val="00AF4767"/>
    <w:rsid w:val="00AF4793"/>
    <w:rsid w:val="00AF47EB"/>
    <w:rsid w:val="00AF4902"/>
    <w:rsid w:val="00AF4911"/>
    <w:rsid w:val="00AF4A98"/>
    <w:rsid w:val="00AF4E86"/>
    <w:rsid w:val="00AF4F7F"/>
    <w:rsid w:val="00AF52BB"/>
    <w:rsid w:val="00AF52FA"/>
    <w:rsid w:val="00AF530E"/>
    <w:rsid w:val="00AF54A7"/>
    <w:rsid w:val="00AF583E"/>
    <w:rsid w:val="00AF58A3"/>
    <w:rsid w:val="00AF5BA8"/>
    <w:rsid w:val="00AF5CFC"/>
    <w:rsid w:val="00AF5E2D"/>
    <w:rsid w:val="00AF6023"/>
    <w:rsid w:val="00AF650A"/>
    <w:rsid w:val="00AF65BC"/>
    <w:rsid w:val="00AF65C1"/>
    <w:rsid w:val="00AF67C0"/>
    <w:rsid w:val="00AF68C6"/>
    <w:rsid w:val="00AF69DD"/>
    <w:rsid w:val="00AF6CA5"/>
    <w:rsid w:val="00AF6CC0"/>
    <w:rsid w:val="00AF6D30"/>
    <w:rsid w:val="00AF6F73"/>
    <w:rsid w:val="00AF7034"/>
    <w:rsid w:val="00AF7043"/>
    <w:rsid w:val="00AF7129"/>
    <w:rsid w:val="00AF71BC"/>
    <w:rsid w:val="00AF72BC"/>
    <w:rsid w:val="00AF7372"/>
    <w:rsid w:val="00AF76FD"/>
    <w:rsid w:val="00AF788F"/>
    <w:rsid w:val="00AF7DED"/>
    <w:rsid w:val="00AF7E6D"/>
    <w:rsid w:val="00B000D5"/>
    <w:rsid w:val="00B002A1"/>
    <w:rsid w:val="00B00467"/>
    <w:rsid w:val="00B0048B"/>
    <w:rsid w:val="00B004CD"/>
    <w:rsid w:val="00B004DB"/>
    <w:rsid w:val="00B0091B"/>
    <w:rsid w:val="00B00979"/>
    <w:rsid w:val="00B00A2D"/>
    <w:rsid w:val="00B00BB2"/>
    <w:rsid w:val="00B00D85"/>
    <w:rsid w:val="00B00DAF"/>
    <w:rsid w:val="00B00F31"/>
    <w:rsid w:val="00B00FAA"/>
    <w:rsid w:val="00B011F3"/>
    <w:rsid w:val="00B012C6"/>
    <w:rsid w:val="00B01479"/>
    <w:rsid w:val="00B01751"/>
    <w:rsid w:val="00B017EB"/>
    <w:rsid w:val="00B01864"/>
    <w:rsid w:val="00B01C87"/>
    <w:rsid w:val="00B01D74"/>
    <w:rsid w:val="00B01D88"/>
    <w:rsid w:val="00B01DC4"/>
    <w:rsid w:val="00B01F7A"/>
    <w:rsid w:val="00B02062"/>
    <w:rsid w:val="00B021EE"/>
    <w:rsid w:val="00B022C1"/>
    <w:rsid w:val="00B02371"/>
    <w:rsid w:val="00B0250B"/>
    <w:rsid w:val="00B0259F"/>
    <w:rsid w:val="00B025F8"/>
    <w:rsid w:val="00B02919"/>
    <w:rsid w:val="00B029B9"/>
    <w:rsid w:val="00B02B90"/>
    <w:rsid w:val="00B02C20"/>
    <w:rsid w:val="00B02CB4"/>
    <w:rsid w:val="00B034DD"/>
    <w:rsid w:val="00B035A0"/>
    <w:rsid w:val="00B036AF"/>
    <w:rsid w:val="00B0385F"/>
    <w:rsid w:val="00B03EFC"/>
    <w:rsid w:val="00B043C2"/>
    <w:rsid w:val="00B0453F"/>
    <w:rsid w:val="00B045E4"/>
    <w:rsid w:val="00B04625"/>
    <w:rsid w:val="00B04A7D"/>
    <w:rsid w:val="00B04AA3"/>
    <w:rsid w:val="00B04BDA"/>
    <w:rsid w:val="00B05088"/>
    <w:rsid w:val="00B050C1"/>
    <w:rsid w:val="00B051F5"/>
    <w:rsid w:val="00B052A8"/>
    <w:rsid w:val="00B0533D"/>
    <w:rsid w:val="00B0551C"/>
    <w:rsid w:val="00B0553C"/>
    <w:rsid w:val="00B056AD"/>
    <w:rsid w:val="00B056AF"/>
    <w:rsid w:val="00B05700"/>
    <w:rsid w:val="00B0582C"/>
    <w:rsid w:val="00B0589F"/>
    <w:rsid w:val="00B05975"/>
    <w:rsid w:val="00B05B3C"/>
    <w:rsid w:val="00B05BB2"/>
    <w:rsid w:val="00B05C9F"/>
    <w:rsid w:val="00B05E67"/>
    <w:rsid w:val="00B05E8A"/>
    <w:rsid w:val="00B05F08"/>
    <w:rsid w:val="00B06124"/>
    <w:rsid w:val="00B06198"/>
    <w:rsid w:val="00B06433"/>
    <w:rsid w:val="00B064A4"/>
    <w:rsid w:val="00B06711"/>
    <w:rsid w:val="00B06789"/>
    <w:rsid w:val="00B06966"/>
    <w:rsid w:val="00B06AF0"/>
    <w:rsid w:val="00B06E92"/>
    <w:rsid w:val="00B070A5"/>
    <w:rsid w:val="00B07748"/>
    <w:rsid w:val="00B07816"/>
    <w:rsid w:val="00B0790A"/>
    <w:rsid w:val="00B07932"/>
    <w:rsid w:val="00B07A92"/>
    <w:rsid w:val="00B07EC1"/>
    <w:rsid w:val="00B1010F"/>
    <w:rsid w:val="00B101E3"/>
    <w:rsid w:val="00B1049A"/>
    <w:rsid w:val="00B10AA6"/>
    <w:rsid w:val="00B10BC2"/>
    <w:rsid w:val="00B10CD4"/>
    <w:rsid w:val="00B10D3A"/>
    <w:rsid w:val="00B10DCB"/>
    <w:rsid w:val="00B11158"/>
    <w:rsid w:val="00B1120B"/>
    <w:rsid w:val="00B11244"/>
    <w:rsid w:val="00B1148B"/>
    <w:rsid w:val="00B117A5"/>
    <w:rsid w:val="00B11910"/>
    <w:rsid w:val="00B11986"/>
    <w:rsid w:val="00B11B74"/>
    <w:rsid w:val="00B11BF8"/>
    <w:rsid w:val="00B11C84"/>
    <w:rsid w:val="00B11D29"/>
    <w:rsid w:val="00B11E93"/>
    <w:rsid w:val="00B1207E"/>
    <w:rsid w:val="00B123B9"/>
    <w:rsid w:val="00B125C6"/>
    <w:rsid w:val="00B125FA"/>
    <w:rsid w:val="00B12615"/>
    <w:rsid w:val="00B12653"/>
    <w:rsid w:val="00B126E4"/>
    <w:rsid w:val="00B12737"/>
    <w:rsid w:val="00B127B7"/>
    <w:rsid w:val="00B12820"/>
    <w:rsid w:val="00B12BC0"/>
    <w:rsid w:val="00B12E00"/>
    <w:rsid w:val="00B13165"/>
    <w:rsid w:val="00B134EB"/>
    <w:rsid w:val="00B1352D"/>
    <w:rsid w:val="00B13552"/>
    <w:rsid w:val="00B1376B"/>
    <w:rsid w:val="00B138F7"/>
    <w:rsid w:val="00B13A2C"/>
    <w:rsid w:val="00B13C31"/>
    <w:rsid w:val="00B13DF9"/>
    <w:rsid w:val="00B1407B"/>
    <w:rsid w:val="00B1450B"/>
    <w:rsid w:val="00B145F6"/>
    <w:rsid w:val="00B1478E"/>
    <w:rsid w:val="00B147DC"/>
    <w:rsid w:val="00B14CF6"/>
    <w:rsid w:val="00B14D74"/>
    <w:rsid w:val="00B14E45"/>
    <w:rsid w:val="00B14E59"/>
    <w:rsid w:val="00B14FDB"/>
    <w:rsid w:val="00B15206"/>
    <w:rsid w:val="00B15266"/>
    <w:rsid w:val="00B15574"/>
    <w:rsid w:val="00B15872"/>
    <w:rsid w:val="00B15A0A"/>
    <w:rsid w:val="00B15C69"/>
    <w:rsid w:val="00B15CFA"/>
    <w:rsid w:val="00B15E77"/>
    <w:rsid w:val="00B16064"/>
    <w:rsid w:val="00B16287"/>
    <w:rsid w:val="00B16475"/>
    <w:rsid w:val="00B165FE"/>
    <w:rsid w:val="00B1663F"/>
    <w:rsid w:val="00B1690F"/>
    <w:rsid w:val="00B16A9C"/>
    <w:rsid w:val="00B16CD3"/>
    <w:rsid w:val="00B16D44"/>
    <w:rsid w:val="00B16E62"/>
    <w:rsid w:val="00B16E68"/>
    <w:rsid w:val="00B16F6A"/>
    <w:rsid w:val="00B17266"/>
    <w:rsid w:val="00B17277"/>
    <w:rsid w:val="00B1735E"/>
    <w:rsid w:val="00B17715"/>
    <w:rsid w:val="00B179BC"/>
    <w:rsid w:val="00B17A5A"/>
    <w:rsid w:val="00B17B03"/>
    <w:rsid w:val="00B17D25"/>
    <w:rsid w:val="00B2023A"/>
    <w:rsid w:val="00B205BD"/>
    <w:rsid w:val="00B205BF"/>
    <w:rsid w:val="00B20623"/>
    <w:rsid w:val="00B20626"/>
    <w:rsid w:val="00B20696"/>
    <w:rsid w:val="00B208A7"/>
    <w:rsid w:val="00B20AF2"/>
    <w:rsid w:val="00B20B2C"/>
    <w:rsid w:val="00B20B58"/>
    <w:rsid w:val="00B20B80"/>
    <w:rsid w:val="00B20C3D"/>
    <w:rsid w:val="00B20CC9"/>
    <w:rsid w:val="00B20DA0"/>
    <w:rsid w:val="00B21233"/>
    <w:rsid w:val="00B216BD"/>
    <w:rsid w:val="00B21A17"/>
    <w:rsid w:val="00B21A73"/>
    <w:rsid w:val="00B21D12"/>
    <w:rsid w:val="00B21FCF"/>
    <w:rsid w:val="00B2207B"/>
    <w:rsid w:val="00B220C0"/>
    <w:rsid w:val="00B221EC"/>
    <w:rsid w:val="00B2251A"/>
    <w:rsid w:val="00B226EC"/>
    <w:rsid w:val="00B22B51"/>
    <w:rsid w:val="00B22D4D"/>
    <w:rsid w:val="00B22E28"/>
    <w:rsid w:val="00B22F42"/>
    <w:rsid w:val="00B23282"/>
    <w:rsid w:val="00B23470"/>
    <w:rsid w:val="00B234AA"/>
    <w:rsid w:val="00B2359C"/>
    <w:rsid w:val="00B23635"/>
    <w:rsid w:val="00B2383F"/>
    <w:rsid w:val="00B23B0C"/>
    <w:rsid w:val="00B23D61"/>
    <w:rsid w:val="00B23D7C"/>
    <w:rsid w:val="00B240A7"/>
    <w:rsid w:val="00B24498"/>
    <w:rsid w:val="00B24707"/>
    <w:rsid w:val="00B248AE"/>
    <w:rsid w:val="00B24A81"/>
    <w:rsid w:val="00B251A5"/>
    <w:rsid w:val="00B253C6"/>
    <w:rsid w:val="00B25641"/>
    <w:rsid w:val="00B25726"/>
    <w:rsid w:val="00B258C1"/>
    <w:rsid w:val="00B25C3A"/>
    <w:rsid w:val="00B25EEB"/>
    <w:rsid w:val="00B25EF4"/>
    <w:rsid w:val="00B260F2"/>
    <w:rsid w:val="00B263D8"/>
    <w:rsid w:val="00B263F9"/>
    <w:rsid w:val="00B267F1"/>
    <w:rsid w:val="00B2692A"/>
    <w:rsid w:val="00B269A4"/>
    <w:rsid w:val="00B26AF1"/>
    <w:rsid w:val="00B26B63"/>
    <w:rsid w:val="00B26C0C"/>
    <w:rsid w:val="00B26DDD"/>
    <w:rsid w:val="00B27608"/>
    <w:rsid w:val="00B27AF5"/>
    <w:rsid w:val="00B27AFD"/>
    <w:rsid w:val="00B27B4C"/>
    <w:rsid w:val="00B27CAC"/>
    <w:rsid w:val="00B27CD4"/>
    <w:rsid w:val="00B27D4F"/>
    <w:rsid w:val="00B27D63"/>
    <w:rsid w:val="00B27DC5"/>
    <w:rsid w:val="00B30029"/>
    <w:rsid w:val="00B301FD"/>
    <w:rsid w:val="00B303A4"/>
    <w:rsid w:val="00B30A47"/>
    <w:rsid w:val="00B30A63"/>
    <w:rsid w:val="00B30D4E"/>
    <w:rsid w:val="00B30EDE"/>
    <w:rsid w:val="00B311C7"/>
    <w:rsid w:val="00B318F6"/>
    <w:rsid w:val="00B319D5"/>
    <w:rsid w:val="00B31B47"/>
    <w:rsid w:val="00B31BDB"/>
    <w:rsid w:val="00B31C66"/>
    <w:rsid w:val="00B31ED7"/>
    <w:rsid w:val="00B320CB"/>
    <w:rsid w:val="00B32527"/>
    <w:rsid w:val="00B3257A"/>
    <w:rsid w:val="00B32C9F"/>
    <w:rsid w:val="00B32CB7"/>
    <w:rsid w:val="00B32D57"/>
    <w:rsid w:val="00B32F08"/>
    <w:rsid w:val="00B330A6"/>
    <w:rsid w:val="00B33341"/>
    <w:rsid w:val="00B33481"/>
    <w:rsid w:val="00B3360E"/>
    <w:rsid w:val="00B337FC"/>
    <w:rsid w:val="00B33867"/>
    <w:rsid w:val="00B33876"/>
    <w:rsid w:val="00B33ACF"/>
    <w:rsid w:val="00B33B14"/>
    <w:rsid w:val="00B33D5F"/>
    <w:rsid w:val="00B34136"/>
    <w:rsid w:val="00B343E9"/>
    <w:rsid w:val="00B34713"/>
    <w:rsid w:val="00B34897"/>
    <w:rsid w:val="00B3499E"/>
    <w:rsid w:val="00B349B3"/>
    <w:rsid w:val="00B34AF1"/>
    <w:rsid w:val="00B34B6B"/>
    <w:rsid w:val="00B34CB0"/>
    <w:rsid w:val="00B34F9B"/>
    <w:rsid w:val="00B35169"/>
    <w:rsid w:val="00B3524B"/>
    <w:rsid w:val="00B353C9"/>
    <w:rsid w:val="00B355F9"/>
    <w:rsid w:val="00B357AE"/>
    <w:rsid w:val="00B3585D"/>
    <w:rsid w:val="00B35A22"/>
    <w:rsid w:val="00B35B10"/>
    <w:rsid w:val="00B35BF9"/>
    <w:rsid w:val="00B35D77"/>
    <w:rsid w:val="00B360F2"/>
    <w:rsid w:val="00B361DE"/>
    <w:rsid w:val="00B36305"/>
    <w:rsid w:val="00B3675C"/>
    <w:rsid w:val="00B36A2B"/>
    <w:rsid w:val="00B36AD0"/>
    <w:rsid w:val="00B36E69"/>
    <w:rsid w:val="00B3710C"/>
    <w:rsid w:val="00B3743A"/>
    <w:rsid w:val="00B37969"/>
    <w:rsid w:val="00B37E04"/>
    <w:rsid w:val="00B37EB4"/>
    <w:rsid w:val="00B40207"/>
    <w:rsid w:val="00B40444"/>
    <w:rsid w:val="00B406A8"/>
    <w:rsid w:val="00B40A75"/>
    <w:rsid w:val="00B40ADD"/>
    <w:rsid w:val="00B40B74"/>
    <w:rsid w:val="00B40B99"/>
    <w:rsid w:val="00B40BF0"/>
    <w:rsid w:val="00B40C07"/>
    <w:rsid w:val="00B40FD5"/>
    <w:rsid w:val="00B4120E"/>
    <w:rsid w:val="00B41503"/>
    <w:rsid w:val="00B4152D"/>
    <w:rsid w:val="00B41531"/>
    <w:rsid w:val="00B416F1"/>
    <w:rsid w:val="00B417AB"/>
    <w:rsid w:val="00B41843"/>
    <w:rsid w:val="00B41A91"/>
    <w:rsid w:val="00B41ADE"/>
    <w:rsid w:val="00B41D0A"/>
    <w:rsid w:val="00B41F26"/>
    <w:rsid w:val="00B41F66"/>
    <w:rsid w:val="00B42038"/>
    <w:rsid w:val="00B420E7"/>
    <w:rsid w:val="00B42165"/>
    <w:rsid w:val="00B426CA"/>
    <w:rsid w:val="00B42B04"/>
    <w:rsid w:val="00B42D47"/>
    <w:rsid w:val="00B430A4"/>
    <w:rsid w:val="00B4324D"/>
    <w:rsid w:val="00B433BB"/>
    <w:rsid w:val="00B437CB"/>
    <w:rsid w:val="00B437FF"/>
    <w:rsid w:val="00B438C4"/>
    <w:rsid w:val="00B43C35"/>
    <w:rsid w:val="00B43C99"/>
    <w:rsid w:val="00B43D1A"/>
    <w:rsid w:val="00B43D8D"/>
    <w:rsid w:val="00B43DF5"/>
    <w:rsid w:val="00B43ECD"/>
    <w:rsid w:val="00B43F0F"/>
    <w:rsid w:val="00B443E1"/>
    <w:rsid w:val="00B444A8"/>
    <w:rsid w:val="00B4457E"/>
    <w:rsid w:val="00B4459C"/>
    <w:rsid w:val="00B445BB"/>
    <w:rsid w:val="00B44D24"/>
    <w:rsid w:val="00B44EE4"/>
    <w:rsid w:val="00B44FCD"/>
    <w:rsid w:val="00B45010"/>
    <w:rsid w:val="00B456BD"/>
    <w:rsid w:val="00B457A4"/>
    <w:rsid w:val="00B45A8E"/>
    <w:rsid w:val="00B45E16"/>
    <w:rsid w:val="00B45EFE"/>
    <w:rsid w:val="00B46053"/>
    <w:rsid w:val="00B4613F"/>
    <w:rsid w:val="00B46298"/>
    <w:rsid w:val="00B46427"/>
    <w:rsid w:val="00B468E5"/>
    <w:rsid w:val="00B46924"/>
    <w:rsid w:val="00B4697E"/>
    <w:rsid w:val="00B46F1E"/>
    <w:rsid w:val="00B46F5C"/>
    <w:rsid w:val="00B47082"/>
    <w:rsid w:val="00B4725D"/>
    <w:rsid w:val="00B4737E"/>
    <w:rsid w:val="00B476A5"/>
    <w:rsid w:val="00B476A6"/>
    <w:rsid w:val="00B478D5"/>
    <w:rsid w:val="00B47A24"/>
    <w:rsid w:val="00B47BED"/>
    <w:rsid w:val="00B47C0B"/>
    <w:rsid w:val="00B47E04"/>
    <w:rsid w:val="00B47EDB"/>
    <w:rsid w:val="00B50070"/>
    <w:rsid w:val="00B505A0"/>
    <w:rsid w:val="00B50969"/>
    <w:rsid w:val="00B509B1"/>
    <w:rsid w:val="00B50A80"/>
    <w:rsid w:val="00B50D9D"/>
    <w:rsid w:val="00B50DE3"/>
    <w:rsid w:val="00B5108C"/>
    <w:rsid w:val="00B51376"/>
    <w:rsid w:val="00B51425"/>
    <w:rsid w:val="00B51651"/>
    <w:rsid w:val="00B517FA"/>
    <w:rsid w:val="00B51A06"/>
    <w:rsid w:val="00B51BD0"/>
    <w:rsid w:val="00B51BFA"/>
    <w:rsid w:val="00B51CD3"/>
    <w:rsid w:val="00B51D87"/>
    <w:rsid w:val="00B51D97"/>
    <w:rsid w:val="00B51DD7"/>
    <w:rsid w:val="00B51EE2"/>
    <w:rsid w:val="00B51FA2"/>
    <w:rsid w:val="00B52248"/>
    <w:rsid w:val="00B5241B"/>
    <w:rsid w:val="00B5263D"/>
    <w:rsid w:val="00B526FF"/>
    <w:rsid w:val="00B5280B"/>
    <w:rsid w:val="00B52896"/>
    <w:rsid w:val="00B5296B"/>
    <w:rsid w:val="00B529E0"/>
    <w:rsid w:val="00B52BBB"/>
    <w:rsid w:val="00B52C92"/>
    <w:rsid w:val="00B52CD1"/>
    <w:rsid w:val="00B52DDF"/>
    <w:rsid w:val="00B52E42"/>
    <w:rsid w:val="00B52F2D"/>
    <w:rsid w:val="00B5320D"/>
    <w:rsid w:val="00B5321D"/>
    <w:rsid w:val="00B5326D"/>
    <w:rsid w:val="00B53364"/>
    <w:rsid w:val="00B535F4"/>
    <w:rsid w:val="00B53632"/>
    <w:rsid w:val="00B537CA"/>
    <w:rsid w:val="00B5380B"/>
    <w:rsid w:val="00B53BDF"/>
    <w:rsid w:val="00B53C64"/>
    <w:rsid w:val="00B53C65"/>
    <w:rsid w:val="00B53CAF"/>
    <w:rsid w:val="00B53CE0"/>
    <w:rsid w:val="00B53F51"/>
    <w:rsid w:val="00B53F5C"/>
    <w:rsid w:val="00B540A6"/>
    <w:rsid w:val="00B5416E"/>
    <w:rsid w:val="00B5425B"/>
    <w:rsid w:val="00B54335"/>
    <w:rsid w:val="00B544DF"/>
    <w:rsid w:val="00B545B4"/>
    <w:rsid w:val="00B54621"/>
    <w:rsid w:val="00B54750"/>
    <w:rsid w:val="00B54D0D"/>
    <w:rsid w:val="00B54E50"/>
    <w:rsid w:val="00B54FC0"/>
    <w:rsid w:val="00B551C1"/>
    <w:rsid w:val="00B5548C"/>
    <w:rsid w:val="00B55648"/>
    <w:rsid w:val="00B55AEB"/>
    <w:rsid w:val="00B55B94"/>
    <w:rsid w:val="00B55C74"/>
    <w:rsid w:val="00B55F6C"/>
    <w:rsid w:val="00B56095"/>
    <w:rsid w:val="00B56143"/>
    <w:rsid w:val="00B5622E"/>
    <w:rsid w:val="00B563E9"/>
    <w:rsid w:val="00B56803"/>
    <w:rsid w:val="00B5680C"/>
    <w:rsid w:val="00B56914"/>
    <w:rsid w:val="00B5691F"/>
    <w:rsid w:val="00B569C7"/>
    <w:rsid w:val="00B56AC8"/>
    <w:rsid w:val="00B56E47"/>
    <w:rsid w:val="00B56F91"/>
    <w:rsid w:val="00B56FE5"/>
    <w:rsid w:val="00B5706E"/>
    <w:rsid w:val="00B57176"/>
    <w:rsid w:val="00B57185"/>
    <w:rsid w:val="00B572C0"/>
    <w:rsid w:val="00B573EA"/>
    <w:rsid w:val="00B57523"/>
    <w:rsid w:val="00B578F3"/>
    <w:rsid w:val="00B57950"/>
    <w:rsid w:val="00B579CF"/>
    <w:rsid w:val="00B57A4C"/>
    <w:rsid w:val="00B57A81"/>
    <w:rsid w:val="00B57B1B"/>
    <w:rsid w:val="00B57B30"/>
    <w:rsid w:val="00B57BBA"/>
    <w:rsid w:val="00B57EDF"/>
    <w:rsid w:val="00B600DD"/>
    <w:rsid w:val="00B6079F"/>
    <w:rsid w:val="00B60B84"/>
    <w:rsid w:val="00B60C9B"/>
    <w:rsid w:val="00B60CFF"/>
    <w:rsid w:val="00B60D83"/>
    <w:rsid w:val="00B60E21"/>
    <w:rsid w:val="00B60FC1"/>
    <w:rsid w:val="00B61573"/>
    <w:rsid w:val="00B6177D"/>
    <w:rsid w:val="00B61C4C"/>
    <w:rsid w:val="00B61E8C"/>
    <w:rsid w:val="00B61EE3"/>
    <w:rsid w:val="00B620C2"/>
    <w:rsid w:val="00B622A0"/>
    <w:rsid w:val="00B622EB"/>
    <w:rsid w:val="00B62822"/>
    <w:rsid w:val="00B62AE1"/>
    <w:rsid w:val="00B62DB8"/>
    <w:rsid w:val="00B62F97"/>
    <w:rsid w:val="00B630D4"/>
    <w:rsid w:val="00B630DB"/>
    <w:rsid w:val="00B632B4"/>
    <w:rsid w:val="00B6348E"/>
    <w:rsid w:val="00B63581"/>
    <w:rsid w:val="00B635BD"/>
    <w:rsid w:val="00B6382F"/>
    <w:rsid w:val="00B63909"/>
    <w:rsid w:val="00B6393B"/>
    <w:rsid w:val="00B63A33"/>
    <w:rsid w:val="00B63B40"/>
    <w:rsid w:val="00B63D21"/>
    <w:rsid w:val="00B63D32"/>
    <w:rsid w:val="00B63E67"/>
    <w:rsid w:val="00B642C1"/>
    <w:rsid w:val="00B64A49"/>
    <w:rsid w:val="00B64B00"/>
    <w:rsid w:val="00B64E3D"/>
    <w:rsid w:val="00B64F29"/>
    <w:rsid w:val="00B655C2"/>
    <w:rsid w:val="00B65871"/>
    <w:rsid w:val="00B6597B"/>
    <w:rsid w:val="00B65D18"/>
    <w:rsid w:val="00B65DBD"/>
    <w:rsid w:val="00B65F42"/>
    <w:rsid w:val="00B65FF9"/>
    <w:rsid w:val="00B66063"/>
    <w:rsid w:val="00B660EF"/>
    <w:rsid w:val="00B662B1"/>
    <w:rsid w:val="00B66573"/>
    <w:rsid w:val="00B667B5"/>
    <w:rsid w:val="00B66A11"/>
    <w:rsid w:val="00B66B8D"/>
    <w:rsid w:val="00B66C3D"/>
    <w:rsid w:val="00B66D59"/>
    <w:rsid w:val="00B66E91"/>
    <w:rsid w:val="00B672E7"/>
    <w:rsid w:val="00B67427"/>
    <w:rsid w:val="00B674A2"/>
    <w:rsid w:val="00B674BC"/>
    <w:rsid w:val="00B675B3"/>
    <w:rsid w:val="00B6773E"/>
    <w:rsid w:val="00B678F2"/>
    <w:rsid w:val="00B67A63"/>
    <w:rsid w:val="00B67ABF"/>
    <w:rsid w:val="00B67AFF"/>
    <w:rsid w:val="00B67C24"/>
    <w:rsid w:val="00B67E2A"/>
    <w:rsid w:val="00B67FC6"/>
    <w:rsid w:val="00B700EE"/>
    <w:rsid w:val="00B70103"/>
    <w:rsid w:val="00B70241"/>
    <w:rsid w:val="00B7053A"/>
    <w:rsid w:val="00B705E3"/>
    <w:rsid w:val="00B70AA5"/>
    <w:rsid w:val="00B70AC5"/>
    <w:rsid w:val="00B70E4E"/>
    <w:rsid w:val="00B70FDF"/>
    <w:rsid w:val="00B7105E"/>
    <w:rsid w:val="00B7134A"/>
    <w:rsid w:val="00B71695"/>
    <w:rsid w:val="00B71707"/>
    <w:rsid w:val="00B71729"/>
    <w:rsid w:val="00B7172E"/>
    <w:rsid w:val="00B71923"/>
    <w:rsid w:val="00B71A50"/>
    <w:rsid w:val="00B71A9D"/>
    <w:rsid w:val="00B71FF5"/>
    <w:rsid w:val="00B720B6"/>
    <w:rsid w:val="00B72162"/>
    <w:rsid w:val="00B72232"/>
    <w:rsid w:val="00B723B4"/>
    <w:rsid w:val="00B7244F"/>
    <w:rsid w:val="00B72784"/>
    <w:rsid w:val="00B729BA"/>
    <w:rsid w:val="00B72A17"/>
    <w:rsid w:val="00B72A7B"/>
    <w:rsid w:val="00B72CED"/>
    <w:rsid w:val="00B72E31"/>
    <w:rsid w:val="00B73072"/>
    <w:rsid w:val="00B731D5"/>
    <w:rsid w:val="00B731E2"/>
    <w:rsid w:val="00B7329B"/>
    <w:rsid w:val="00B737FC"/>
    <w:rsid w:val="00B73940"/>
    <w:rsid w:val="00B73B7E"/>
    <w:rsid w:val="00B73F74"/>
    <w:rsid w:val="00B74006"/>
    <w:rsid w:val="00B740D9"/>
    <w:rsid w:val="00B741DD"/>
    <w:rsid w:val="00B74325"/>
    <w:rsid w:val="00B744CD"/>
    <w:rsid w:val="00B74697"/>
    <w:rsid w:val="00B74786"/>
    <w:rsid w:val="00B74953"/>
    <w:rsid w:val="00B74B1A"/>
    <w:rsid w:val="00B74B4B"/>
    <w:rsid w:val="00B74C24"/>
    <w:rsid w:val="00B74C50"/>
    <w:rsid w:val="00B74C8D"/>
    <w:rsid w:val="00B74DB4"/>
    <w:rsid w:val="00B74DE1"/>
    <w:rsid w:val="00B74EE1"/>
    <w:rsid w:val="00B74FEA"/>
    <w:rsid w:val="00B75248"/>
    <w:rsid w:val="00B75449"/>
    <w:rsid w:val="00B75466"/>
    <w:rsid w:val="00B754A4"/>
    <w:rsid w:val="00B755A5"/>
    <w:rsid w:val="00B75874"/>
    <w:rsid w:val="00B75B51"/>
    <w:rsid w:val="00B75D2A"/>
    <w:rsid w:val="00B75DD3"/>
    <w:rsid w:val="00B75DE9"/>
    <w:rsid w:val="00B75FEF"/>
    <w:rsid w:val="00B75FF5"/>
    <w:rsid w:val="00B760D6"/>
    <w:rsid w:val="00B76143"/>
    <w:rsid w:val="00B7670D"/>
    <w:rsid w:val="00B7680A"/>
    <w:rsid w:val="00B76AAC"/>
    <w:rsid w:val="00B76ACD"/>
    <w:rsid w:val="00B76B55"/>
    <w:rsid w:val="00B76BCF"/>
    <w:rsid w:val="00B770AA"/>
    <w:rsid w:val="00B77173"/>
    <w:rsid w:val="00B77262"/>
    <w:rsid w:val="00B776A6"/>
    <w:rsid w:val="00B77701"/>
    <w:rsid w:val="00B777B0"/>
    <w:rsid w:val="00B7799C"/>
    <w:rsid w:val="00B801A8"/>
    <w:rsid w:val="00B8059E"/>
    <w:rsid w:val="00B805D4"/>
    <w:rsid w:val="00B8062D"/>
    <w:rsid w:val="00B8062F"/>
    <w:rsid w:val="00B80BB0"/>
    <w:rsid w:val="00B80BE7"/>
    <w:rsid w:val="00B80D97"/>
    <w:rsid w:val="00B80E86"/>
    <w:rsid w:val="00B80F90"/>
    <w:rsid w:val="00B815C7"/>
    <w:rsid w:val="00B8184B"/>
    <w:rsid w:val="00B81A16"/>
    <w:rsid w:val="00B81B09"/>
    <w:rsid w:val="00B81BB3"/>
    <w:rsid w:val="00B81DDE"/>
    <w:rsid w:val="00B81E10"/>
    <w:rsid w:val="00B81EB5"/>
    <w:rsid w:val="00B81F55"/>
    <w:rsid w:val="00B825F2"/>
    <w:rsid w:val="00B82794"/>
    <w:rsid w:val="00B82867"/>
    <w:rsid w:val="00B82B99"/>
    <w:rsid w:val="00B82E67"/>
    <w:rsid w:val="00B83046"/>
    <w:rsid w:val="00B831B1"/>
    <w:rsid w:val="00B83598"/>
    <w:rsid w:val="00B836EF"/>
    <w:rsid w:val="00B8396A"/>
    <w:rsid w:val="00B83FC5"/>
    <w:rsid w:val="00B84101"/>
    <w:rsid w:val="00B84164"/>
    <w:rsid w:val="00B842C7"/>
    <w:rsid w:val="00B846E8"/>
    <w:rsid w:val="00B84731"/>
    <w:rsid w:val="00B84862"/>
    <w:rsid w:val="00B8494F"/>
    <w:rsid w:val="00B84954"/>
    <w:rsid w:val="00B84BE0"/>
    <w:rsid w:val="00B84C3E"/>
    <w:rsid w:val="00B84CD8"/>
    <w:rsid w:val="00B84E91"/>
    <w:rsid w:val="00B85172"/>
    <w:rsid w:val="00B852AA"/>
    <w:rsid w:val="00B85792"/>
    <w:rsid w:val="00B85815"/>
    <w:rsid w:val="00B85A4F"/>
    <w:rsid w:val="00B85A6B"/>
    <w:rsid w:val="00B85DA4"/>
    <w:rsid w:val="00B85F1F"/>
    <w:rsid w:val="00B8618F"/>
    <w:rsid w:val="00B86285"/>
    <w:rsid w:val="00B862FA"/>
    <w:rsid w:val="00B86387"/>
    <w:rsid w:val="00B86521"/>
    <w:rsid w:val="00B8676F"/>
    <w:rsid w:val="00B868C2"/>
    <w:rsid w:val="00B869B2"/>
    <w:rsid w:val="00B86D57"/>
    <w:rsid w:val="00B86EB8"/>
    <w:rsid w:val="00B87065"/>
    <w:rsid w:val="00B87125"/>
    <w:rsid w:val="00B87290"/>
    <w:rsid w:val="00B8768D"/>
    <w:rsid w:val="00B8778F"/>
    <w:rsid w:val="00B87865"/>
    <w:rsid w:val="00B87916"/>
    <w:rsid w:val="00B87B78"/>
    <w:rsid w:val="00B87B92"/>
    <w:rsid w:val="00B87BE8"/>
    <w:rsid w:val="00B87F2E"/>
    <w:rsid w:val="00B87F58"/>
    <w:rsid w:val="00B87F89"/>
    <w:rsid w:val="00B90261"/>
    <w:rsid w:val="00B90775"/>
    <w:rsid w:val="00B9086B"/>
    <w:rsid w:val="00B90AA2"/>
    <w:rsid w:val="00B90C06"/>
    <w:rsid w:val="00B9160A"/>
    <w:rsid w:val="00B918BA"/>
    <w:rsid w:val="00B91C7C"/>
    <w:rsid w:val="00B91EB3"/>
    <w:rsid w:val="00B921B4"/>
    <w:rsid w:val="00B92289"/>
    <w:rsid w:val="00B92567"/>
    <w:rsid w:val="00B928D3"/>
    <w:rsid w:val="00B9290D"/>
    <w:rsid w:val="00B9291B"/>
    <w:rsid w:val="00B929A1"/>
    <w:rsid w:val="00B929AC"/>
    <w:rsid w:val="00B92A05"/>
    <w:rsid w:val="00B92BBA"/>
    <w:rsid w:val="00B92DBD"/>
    <w:rsid w:val="00B92E0E"/>
    <w:rsid w:val="00B93141"/>
    <w:rsid w:val="00B932F8"/>
    <w:rsid w:val="00B936F6"/>
    <w:rsid w:val="00B93AFC"/>
    <w:rsid w:val="00B93B1F"/>
    <w:rsid w:val="00B93EE8"/>
    <w:rsid w:val="00B94316"/>
    <w:rsid w:val="00B94370"/>
    <w:rsid w:val="00B94393"/>
    <w:rsid w:val="00B947CC"/>
    <w:rsid w:val="00B94883"/>
    <w:rsid w:val="00B94950"/>
    <w:rsid w:val="00B94AE2"/>
    <w:rsid w:val="00B94B9B"/>
    <w:rsid w:val="00B94DE8"/>
    <w:rsid w:val="00B94EA8"/>
    <w:rsid w:val="00B94F1A"/>
    <w:rsid w:val="00B950AA"/>
    <w:rsid w:val="00B950DB"/>
    <w:rsid w:val="00B9512F"/>
    <w:rsid w:val="00B95367"/>
    <w:rsid w:val="00B9546C"/>
    <w:rsid w:val="00B958D6"/>
    <w:rsid w:val="00B95B0F"/>
    <w:rsid w:val="00B95C6A"/>
    <w:rsid w:val="00B95E4D"/>
    <w:rsid w:val="00B95FB8"/>
    <w:rsid w:val="00B96208"/>
    <w:rsid w:val="00B9639D"/>
    <w:rsid w:val="00B964D8"/>
    <w:rsid w:val="00B96663"/>
    <w:rsid w:val="00B966A2"/>
    <w:rsid w:val="00B969F9"/>
    <w:rsid w:val="00B96B39"/>
    <w:rsid w:val="00B96BD0"/>
    <w:rsid w:val="00B96BFE"/>
    <w:rsid w:val="00B96C28"/>
    <w:rsid w:val="00B96DDA"/>
    <w:rsid w:val="00B96E58"/>
    <w:rsid w:val="00B96F1C"/>
    <w:rsid w:val="00B970D6"/>
    <w:rsid w:val="00B971E2"/>
    <w:rsid w:val="00B973E9"/>
    <w:rsid w:val="00B9740A"/>
    <w:rsid w:val="00B97600"/>
    <w:rsid w:val="00B97668"/>
    <w:rsid w:val="00B9777F"/>
    <w:rsid w:val="00B97AD4"/>
    <w:rsid w:val="00B97B83"/>
    <w:rsid w:val="00B97D12"/>
    <w:rsid w:val="00B97ED9"/>
    <w:rsid w:val="00B97F7F"/>
    <w:rsid w:val="00BA003C"/>
    <w:rsid w:val="00BA0173"/>
    <w:rsid w:val="00BA019D"/>
    <w:rsid w:val="00BA0497"/>
    <w:rsid w:val="00BA0703"/>
    <w:rsid w:val="00BA098B"/>
    <w:rsid w:val="00BA0B31"/>
    <w:rsid w:val="00BA105F"/>
    <w:rsid w:val="00BA126F"/>
    <w:rsid w:val="00BA12CC"/>
    <w:rsid w:val="00BA1681"/>
    <w:rsid w:val="00BA16CA"/>
    <w:rsid w:val="00BA1AC3"/>
    <w:rsid w:val="00BA1C3F"/>
    <w:rsid w:val="00BA1C9C"/>
    <w:rsid w:val="00BA1F6E"/>
    <w:rsid w:val="00BA1F75"/>
    <w:rsid w:val="00BA223B"/>
    <w:rsid w:val="00BA226E"/>
    <w:rsid w:val="00BA248B"/>
    <w:rsid w:val="00BA2711"/>
    <w:rsid w:val="00BA2A4B"/>
    <w:rsid w:val="00BA2B1B"/>
    <w:rsid w:val="00BA2D11"/>
    <w:rsid w:val="00BA2DFF"/>
    <w:rsid w:val="00BA2F7F"/>
    <w:rsid w:val="00BA2FAE"/>
    <w:rsid w:val="00BA361A"/>
    <w:rsid w:val="00BA3793"/>
    <w:rsid w:val="00BA387D"/>
    <w:rsid w:val="00BA39BE"/>
    <w:rsid w:val="00BA3BB4"/>
    <w:rsid w:val="00BA3CF7"/>
    <w:rsid w:val="00BA3DCE"/>
    <w:rsid w:val="00BA3FBC"/>
    <w:rsid w:val="00BA4570"/>
    <w:rsid w:val="00BA45C8"/>
    <w:rsid w:val="00BA46E2"/>
    <w:rsid w:val="00BA470A"/>
    <w:rsid w:val="00BA48AB"/>
    <w:rsid w:val="00BA48D4"/>
    <w:rsid w:val="00BA49CA"/>
    <w:rsid w:val="00BA4C44"/>
    <w:rsid w:val="00BA4E7B"/>
    <w:rsid w:val="00BA4FD2"/>
    <w:rsid w:val="00BA50D8"/>
    <w:rsid w:val="00BA5134"/>
    <w:rsid w:val="00BA53F7"/>
    <w:rsid w:val="00BA5525"/>
    <w:rsid w:val="00BA55F2"/>
    <w:rsid w:val="00BA581B"/>
    <w:rsid w:val="00BA5D94"/>
    <w:rsid w:val="00BA5E3C"/>
    <w:rsid w:val="00BA5EEA"/>
    <w:rsid w:val="00BA602A"/>
    <w:rsid w:val="00BA617E"/>
    <w:rsid w:val="00BA661C"/>
    <w:rsid w:val="00BA671C"/>
    <w:rsid w:val="00BA6977"/>
    <w:rsid w:val="00BA6BE4"/>
    <w:rsid w:val="00BA7092"/>
    <w:rsid w:val="00BA711D"/>
    <w:rsid w:val="00BA75AD"/>
    <w:rsid w:val="00BA75BB"/>
    <w:rsid w:val="00BA7764"/>
    <w:rsid w:val="00BA7775"/>
    <w:rsid w:val="00BA78BD"/>
    <w:rsid w:val="00BA7C5C"/>
    <w:rsid w:val="00BB023E"/>
    <w:rsid w:val="00BB0271"/>
    <w:rsid w:val="00BB02B8"/>
    <w:rsid w:val="00BB0382"/>
    <w:rsid w:val="00BB091C"/>
    <w:rsid w:val="00BB14BE"/>
    <w:rsid w:val="00BB1A3E"/>
    <w:rsid w:val="00BB1AEA"/>
    <w:rsid w:val="00BB1D46"/>
    <w:rsid w:val="00BB1D98"/>
    <w:rsid w:val="00BB1E8F"/>
    <w:rsid w:val="00BB228B"/>
    <w:rsid w:val="00BB231C"/>
    <w:rsid w:val="00BB24F3"/>
    <w:rsid w:val="00BB24FD"/>
    <w:rsid w:val="00BB269E"/>
    <w:rsid w:val="00BB26B3"/>
    <w:rsid w:val="00BB27F0"/>
    <w:rsid w:val="00BB2874"/>
    <w:rsid w:val="00BB2A66"/>
    <w:rsid w:val="00BB2A9D"/>
    <w:rsid w:val="00BB2AA5"/>
    <w:rsid w:val="00BB2DD0"/>
    <w:rsid w:val="00BB2FD1"/>
    <w:rsid w:val="00BB307E"/>
    <w:rsid w:val="00BB308C"/>
    <w:rsid w:val="00BB3243"/>
    <w:rsid w:val="00BB3457"/>
    <w:rsid w:val="00BB36E4"/>
    <w:rsid w:val="00BB3931"/>
    <w:rsid w:val="00BB3976"/>
    <w:rsid w:val="00BB3B3A"/>
    <w:rsid w:val="00BB3C20"/>
    <w:rsid w:val="00BB3E2B"/>
    <w:rsid w:val="00BB405A"/>
    <w:rsid w:val="00BB418F"/>
    <w:rsid w:val="00BB442D"/>
    <w:rsid w:val="00BB44DF"/>
    <w:rsid w:val="00BB49BC"/>
    <w:rsid w:val="00BB4C55"/>
    <w:rsid w:val="00BB4D2A"/>
    <w:rsid w:val="00BB4FCE"/>
    <w:rsid w:val="00BB507C"/>
    <w:rsid w:val="00BB50F9"/>
    <w:rsid w:val="00BB5112"/>
    <w:rsid w:val="00BB5165"/>
    <w:rsid w:val="00BB51EE"/>
    <w:rsid w:val="00BB5342"/>
    <w:rsid w:val="00BB53D0"/>
    <w:rsid w:val="00BB5A2E"/>
    <w:rsid w:val="00BB5A71"/>
    <w:rsid w:val="00BB5A73"/>
    <w:rsid w:val="00BB5C58"/>
    <w:rsid w:val="00BB5D21"/>
    <w:rsid w:val="00BB5D85"/>
    <w:rsid w:val="00BB5EF9"/>
    <w:rsid w:val="00BB5F90"/>
    <w:rsid w:val="00BB624A"/>
    <w:rsid w:val="00BB6561"/>
    <w:rsid w:val="00BB65F2"/>
    <w:rsid w:val="00BB6829"/>
    <w:rsid w:val="00BB6837"/>
    <w:rsid w:val="00BB69BC"/>
    <w:rsid w:val="00BB6BB6"/>
    <w:rsid w:val="00BB6D70"/>
    <w:rsid w:val="00BB703E"/>
    <w:rsid w:val="00BB70B5"/>
    <w:rsid w:val="00BB72F3"/>
    <w:rsid w:val="00BB73C1"/>
    <w:rsid w:val="00BB75B8"/>
    <w:rsid w:val="00BB75C4"/>
    <w:rsid w:val="00BB769D"/>
    <w:rsid w:val="00BB76B0"/>
    <w:rsid w:val="00BB7A39"/>
    <w:rsid w:val="00BB7B9F"/>
    <w:rsid w:val="00BB7D05"/>
    <w:rsid w:val="00BB7E55"/>
    <w:rsid w:val="00BB7ED7"/>
    <w:rsid w:val="00BC038F"/>
    <w:rsid w:val="00BC03B1"/>
    <w:rsid w:val="00BC077C"/>
    <w:rsid w:val="00BC07D2"/>
    <w:rsid w:val="00BC0CE0"/>
    <w:rsid w:val="00BC0D1F"/>
    <w:rsid w:val="00BC0DE3"/>
    <w:rsid w:val="00BC0E7C"/>
    <w:rsid w:val="00BC12DD"/>
    <w:rsid w:val="00BC12EF"/>
    <w:rsid w:val="00BC13C7"/>
    <w:rsid w:val="00BC15D5"/>
    <w:rsid w:val="00BC177D"/>
    <w:rsid w:val="00BC1924"/>
    <w:rsid w:val="00BC1A2F"/>
    <w:rsid w:val="00BC1B4D"/>
    <w:rsid w:val="00BC1E48"/>
    <w:rsid w:val="00BC1E65"/>
    <w:rsid w:val="00BC1EDE"/>
    <w:rsid w:val="00BC1F8D"/>
    <w:rsid w:val="00BC2009"/>
    <w:rsid w:val="00BC2204"/>
    <w:rsid w:val="00BC2259"/>
    <w:rsid w:val="00BC2308"/>
    <w:rsid w:val="00BC272B"/>
    <w:rsid w:val="00BC2794"/>
    <w:rsid w:val="00BC27B2"/>
    <w:rsid w:val="00BC2B01"/>
    <w:rsid w:val="00BC2BF8"/>
    <w:rsid w:val="00BC32EB"/>
    <w:rsid w:val="00BC3799"/>
    <w:rsid w:val="00BC3874"/>
    <w:rsid w:val="00BC3952"/>
    <w:rsid w:val="00BC3A01"/>
    <w:rsid w:val="00BC3D38"/>
    <w:rsid w:val="00BC3D62"/>
    <w:rsid w:val="00BC3E2D"/>
    <w:rsid w:val="00BC3E45"/>
    <w:rsid w:val="00BC415E"/>
    <w:rsid w:val="00BC4237"/>
    <w:rsid w:val="00BC4715"/>
    <w:rsid w:val="00BC4ABE"/>
    <w:rsid w:val="00BC4B3A"/>
    <w:rsid w:val="00BC4C93"/>
    <w:rsid w:val="00BC4FCB"/>
    <w:rsid w:val="00BC507A"/>
    <w:rsid w:val="00BC50D0"/>
    <w:rsid w:val="00BC50E1"/>
    <w:rsid w:val="00BC5241"/>
    <w:rsid w:val="00BC5373"/>
    <w:rsid w:val="00BC543C"/>
    <w:rsid w:val="00BC56C3"/>
    <w:rsid w:val="00BC576E"/>
    <w:rsid w:val="00BC5819"/>
    <w:rsid w:val="00BC5B01"/>
    <w:rsid w:val="00BC5F53"/>
    <w:rsid w:val="00BC5FBF"/>
    <w:rsid w:val="00BC5FF6"/>
    <w:rsid w:val="00BC6072"/>
    <w:rsid w:val="00BC639C"/>
    <w:rsid w:val="00BC65EC"/>
    <w:rsid w:val="00BC6647"/>
    <w:rsid w:val="00BC66EF"/>
    <w:rsid w:val="00BC6957"/>
    <w:rsid w:val="00BC696D"/>
    <w:rsid w:val="00BC6A33"/>
    <w:rsid w:val="00BC6C87"/>
    <w:rsid w:val="00BC6F26"/>
    <w:rsid w:val="00BC7178"/>
    <w:rsid w:val="00BC71CB"/>
    <w:rsid w:val="00BC7409"/>
    <w:rsid w:val="00BC7480"/>
    <w:rsid w:val="00BC7597"/>
    <w:rsid w:val="00BC75BA"/>
    <w:rsid w:val="00BC76AE"/>
    <w:rsid w:val="00BC773F"/>
    <w:rsid w:val="00BC7789"/>
    <w:rsid w:val="00BC795D"/>
    <w:rsid w:val="00BC7ADE"/>
    <w:rsid w:val="00BC7B2D"/>
    <w:rsid w:val="00BC7BFE"/>
    <w:rsid w:val="00BC7C32"/>
    <w:rsid w:val="00BC7C8C"/>
    <w:rsid w:val="00BC7CF3"/>
    <w:rsid w:val="00BD00E5"/>
    <w:rsid w:val="00BD00FD"/>
    <w:rsid w:val="00BD01F6"/>
    <w:rsid w:val="00BD025F"/>
    <w:rsid w:val="00BD0271"/>
    <w:rsid w:val="00BD07F3"/>
    <w:rsid w:val="00BD0915"/>
    <w:rsid w:val="00BD0BE5"/>
    <w:rsid w:val="00BD0D0C"/>
    <w:rsid w:val="00BD0F50"/>
    <w:rsid w:val="00BD1060"/>
    <w:rsid w:val="00BD1257"/>
    <w:rsid w:val="00BD148C"/>
    <w:rsid w:val="00BD14C0"/>
    <w:rsid w:val="00BD15F9"/>
    <w:rsid w:val="00BD163C"/>
    <w:rsid w:val="00BD172D"/>
    <w:rsid w:val="00BD1772"/>
    <w:rsid w:val="00BD1792"/>
    <w:rsid w:val="00BD18B3"/>
    <w:rsid w:val="00BD1A16"/>
    <w:rsid w:val="00BD1AFB"/>
    <w:rsid w:val="00BD1BAD"/>
    <w:rsid w:val="00BD1BF5"/>
    <w:rsid w:val="00BD1D56"/>
    <w:rsid w:val="00BD1D99"/>
    <w:rsid w:val="00BD1EF5"/>
    <w:rsid w:val="00BD2069"/>
    <w:rsid w:val="00BD20EE"/>
    <w:rsid w:val="00BD2350"/>
    <w:rsid w:val="00BD23DB"/>
    <w:rsid w:val="00BD259B"/>
    <w:rsid w:val="00BD265C"/>
    <w:rsid w:val="00BD2671"/>
    <w:rsid w:val="00BD297D"/>
    <w:rsid w:val="00BD2C3D"/>
    <w:rsid w:val="00BD2CD7"/>
    <w:rsid w:val="00BD2E1B"/>
    <w:rsid w:val="00BD2E72"/>
    <w:rsid w:val="00BD2F6A"/>
    <w:rsid w:val="00BD2FA5"/>
    <w:rsid w:val="00BD302C"/>
    <w:rsid w:val="00BD3209"/>
    <w:rsid w:val="00BD338D"/>
    <w:rsid w:val="00BD347C"/>
    <w:rsid w:val="00BD3617"/>
    <w:rsid w:val="00BD3627"/>
    <w:rsid w:val="00BD36FD"/>
    <w:rsid w:val="00BD370A"/>
    <w:rsid w:val="00BD3710"/>
    <w:rsid w:val="00BD3760"/>
    <w:rsid w:val="00BD384B"/>
    <w:rsid w:val="00BD3A36"/>
    <w:rsid w:val="00BD3CB6"/>
    <w:rsid w:val="00BD4538"/>
    <w:rsid w:val="00BD48A9"/>
    <w:rsid w:val="00BD49D1"/>
    <w:rsid w:val="00BD4BA6"/>
    <w:rsid w:val="00BD4D29"/>
    <w:rsid w:val="00BD4E78"/>
    <w:rsid w:val="00BD5069"/>
    <w:rsid w:val="00BD51C7"/>
    <w:rsid w:val="00BD53C4"/>
    <w:rsid w:val="00BD554A"/>
    <w:rsid w:val="00BD5834"/>
    <w:rsid w:val="00BD5C1F"/>
    <w:rsid w:val="00BD5C72"/>
    <w:rsid w:val="00BD5DFC"/>
    <w:rsid w:val="00BD5EA4"/>
    <w:rsid w:val="00BD620D"/>
    <w:rsid w:val="00BD62C3"/>
    <w:rsid w:val="00BD62E1"/>
    <w:rsid w:val="00BD6545"/>
    <w:rsid w:val="00BD655B"/>
    <w:rsid w:val="00BD6752"/>
    <w:rsid w:val="00BD67A0"/>
    <w:rsid w:val="00BD6A3D"/>
    <w:rsid w:val="00BD6AB9"/>
    <w:rsid w:val="00BD6B92"/>
    <w:rsid w:val="00BD6D64"/>
    <w:rsid w:val="00BD6E32"/>
    <w:rsid w:val="00BD6E61"/>
    <w:rsid w:val="00BD6E65"/>
    <w:rsid w:val="00BD70E7"/>
    <w:rsid w:val="00BD7173"/>
    <w:rsid w:val="00BD7269"/>
    <w:rsid w:val="00BD75DA"/>
    <w:rsid w:val="00BD79CC"/>
    <w:rsid w:val="00BD7ADC"/>
    <w:rsid w:val="00BD7B93"/>
    <w:rsid w:val="00BD7C67"/>
    <w:rsid w:val="00BD7D0F"/>
    <w:rsid w:val="00BD7D9B"/>
    <w:rsid w:val="00BD7DC7"/>
    <w:rsid w:val="00BD7E84"/>
    <w:rsid w:val="00BE01BD"/>
    <w:rsid w:val="00BE0225"/>
    <w:rsid w:val="00BE0443"/>
    <w:rsid w:val="00BE044B"/>
    <w:rsid w:val="00BE0560"/>
    <w:rsid w:val="00BE07C5"/>
    <w:rsid w:val="00BE07E4"/>
    <w:rsid w:val="00BE0A57"/>
    <w:rsid w:val="00BE0A5D"/>
    <w:rsid w:val="00BE0C2F"/>
    <w:rsid w:val="00BE0C73"/>
    <w:rsid w:val="00BE0CEE"/>
    <w:rsid w:val="00BE0D15"/>
    <w:rsid w:val="00BE0FF8"/>
    <w:rsid w:val="00BE11E3"/>
    <w:rsid w:val="00BE12DB"/>
    <w:rsid w:val="00BE15E1"/>
    <w:rsid w:val="00BE17D9"/>
    <w:rsid w:val="00BE190D"/>
    <w:rsid w:val="00BE1A67"/>
    <w:rsid w:val="00BE1BD1"/>
    <w:rsid w:val="00BE1E65"/>
    <w:rsid w:val="00BE1EA8"/>
    <w:rsid w:val="00BE1FA0"/>
    <w:rsid w:val="00BE2494"/>
    <w:rsid w:val="00BE2549"/>
    <w:rsid w:val="00BE2559"/>
    <w:rsid w:val="00BE2611"/>
    <w:rsid w:val="00BE27A3"/>
    <w:rsid w:val="00BE294B"/>
    <w:rsid w:val="00BE2AA6"/>
    <w:rsid w:val="00BE2DB1"/>
    <w:rsid w:val="00BE2E8A"/>
    <w:rsid w:val="00BE2FE4"/>
    <w:rsid w:val="00BE3189"/>
    <w:rsid w:val="00BE3281"/>
    <w:rsid w:val="00BE33B9"/>
    <w:rsid w:val="00BE348C"/>
    <w:rsid w:val="00BE37DF"/>
    <w:rsid w:val="00BE383F"/>
    <w:rsid w:val="00BE38EC"/>
    <w:rsid w:val="00BE3A19"/>
    <w:rsid w:val="00BE4110"/>
    <w:rsid w:val="00BE431D"/>
    <w:rsid w:val="00BE48C1"/>
    <w:rsid w:val="00BE4C2C"/>
    <w:rsid w:val="00BE4CF2"/>
    <w:rsid w:val="00BE50CC"/>
    <w:rsid w:val="00BE52B5"/>
    <w:rsid w:val="00BE5BB9"/>
    <w:rsid w:val="00BE63A5"/>
    <w:rsid w:val="00BE65E5"/>
    <w:rsid w:val="00BE6D28"/>
    <w:rsid w:val="00BE6E57"/>
    <w:rsid w:val="00BE707F"/>
    <w:rsid w:val="00BE7141"/>
    <w:rsid w:val="00BE7307"/>
    <w:rsid w:val="00BE754B"/>
    <w:rsid w:val="00BE7807"/>
    <w:rsid w:val="00BE7883"/>
    <w:rsid w:val="00BE7B51"/>
    <w:rsid w:val="00BF030C"/>
    <w:rsid w:val="00BF0AF1"/>
    <w:rsid w:val="00BF0BF5"/>
    <w:rsid w:val="00BF0E7A"/>
    <w:rsid w:val="00BF129C"/>
    <w:rsid w:val="00BF1557"/>
    <w:rsid w:val="00BF16F6"/>
    <w:rsid w:val="00BF17D7"/>
    <w:rsid w:val="00BF19A6"/>
    <w:rsid w:val="00BF1BF7"/>
    <w:rsid w:val="00BF1C76"/>
    <w:rsid w:val="00BF1E89"/>
    <w:rsid w:val="00BF1FFA"/>
    <w:rsid w:val="00BF2201"/>
    <w:rsid w:val="00BF223F"/>
    <w:rsid w:val="00BF25D3"/>
    <w:rsid w:val="00BF274C"/>
    <w:rsid w:val="00BF2977"/>
    <w:rsid w:val="00BF2A25"/>
    <w:rsid w:val="00BF2B25"/>
    <w:rsid w:val="00BF2C1C"/>
    <w:rsid w:val="00BF2CCC"/>
    <w:rsid w:val="00BF2E21"/>
    <w:rsid w:val="00BF2F1D"/>
    <w:rsid w:val="00BF2F78"/>
    <w:rsid w:val="00BF3112"/>
    <w:rsid w:val="00BF3322"/>
    <w:rsid w:val="00BF37F9"/>
    <w:rsid w:val="00BF38BB"/>
    <w:rsid w:val="00BF39A9"/>
    <w:rsid w:val="00BF3E12"/>
    <w:rsid w:val="00BF423C"/>
    <w:rsid w:val="00BF4514"/>
    <w:rsid w:val="00BF45CC"/>
    <w:rsid w:val="00BF4611"/>
    <w:rsid w:val="00BF469D"/>
    <w:rsid w:val="00BF475F"/>
    <w:rsid w:val="00BF47CE"/>
    <w:rsid w:val="00BF49F3"/>
    <w:rsid w:val="00BF4A02"/>
    <w:rsid w:val="00BF4B3B"/>
    <w:rsid w:val="00BF4BFE"/>
    <w:rsid w:val="00BF4D17"/>
    <w:rsid w:val="00BF524D"/>
    <w:rsid w:val="00BF529E"/>
    <w:rsid w:val="00BF52C9"/>
    <w:rsid w:val="00BF5441"/>
    <w:rsid w:val="00BF57A0"/>
    <w:rsid w:val="00BF57FD"/>
    <w:rsid w:val="00BF592C"/>
    <w:rsid w:val="00BF598A"/>
    <w:rsid w:val="00BF5AB0"/>
    <w:rsid w:val="00BF5F80"/>
    <w:rsid w:val="00BF6008"/>
    <w:rsid w:val="00BF6237"/>
    <w:rsid w:val="00BF6610"/>
    <w:rsid w:val="00BF66CE"/>
    <w:rsid w:val="00BF6715"/>
    <w:rsid w:val="00BF689E"/>
    <w:rsid w:val="00BF6AB9"/>
    <w:rsid w:val="00BF6CCB"/>
    <w:rsid w:val="00BF6D01"/>
    <w:rsid w:val="00BF6D33"/>
    <w:rsid w:val="00BF6DF3"/>
    <w:rsid w:val="00BF6F48"/>
    <w:rsid w:val="00BF6FDA"/>
    <w:rsid w:val="00BF72C0"/>
    <w:rsid w:val="00BF72DF"/>
    <w:rsid w:val="00BF742C"/>
    <w:rsid w:val="00BF756F"/>
    <w:rsid w:val="00BF75C1"/>
    <w:rsid w:val="00BF7A06"/>
    <w:rsid w:val="00BF7B02"/>
    <w:rsid w:val="00BF7D10"/>
    <w:rsid w:val="00BF7DDB"/>
    <w:rsid w:val="00C000B4"/>
    <w:rsid w:val="00C0011E"/>
    <w:rsid w:val="00C001D4"/>
    <w:rsid w:val="00C0045C"/>
    <w:rsid w:val="00C00718"/>
    <w:rsid w:val="00C00982"/>
    <w:rsid w:val="00C00990"/>
    <w:rsid w:val="00C00C1D"/>
    <w:rsid w:val="00C00E49"/>
    <w:rsid w:val="00C00EF6"/>
    <w:rsid w:val="00C00FB6"/>
    <w:rsid w:val="00C012B7"/>
    <w:rsid w:val="00C0136B"/>
    <w:rsid w:val="00C014F8"/>
    <w:rsid w:val="00C01928"/>
    <w:rsid w:val="00C01D41"/>
    <w:rsid w:val="00C01E71"/>
    <w:rsid w:val="00C01EFC"/>
    <w:rsid w:val="00C02268"/>
    <w:rsid w:val="00C023C7"/>
    <w:rsid w:val="00C024AE"/>
    <w:rsid w:val="00C027B9"/>
    <w:rsid w:val="00C029C0"/>
    <w:rsid w:val="00C02E15"/>
    <w:rsid w:val="00C02E4B"/>
    <w:rsid w:val="00C02EC7"/>
    <w:rsid w:val="00C03162"/>
    <w:rsid w:val="00C03386"/>
    <w:rsid w:val="00C033AF"/>
    <w:rsid w:val="00C03564"/>
    <w:rsid w:val="00C03629"/>
    <w:rsid w:val="00C03745"/>
    <w:rsid w:val="00C03C05"/>
    <w:rsid w:val="00C03C76"/>
    <w:rsid w:val="00C03F1E"/>
    <w:rsid w:val="00C041D2"/>
    <w:rsid w:val="00C042B8"/>
    <w:rsid w:val="00C043B0"/>
    <w:rsid w:val="00C0456C"/>
    <w:rsid w:val="00C04765"/>
    <w:rsid w:val="00C048BD"/>
    <w:rsid w:val="00C048D0"/>
    <w:rsid w:val="00C049CF"/>
    <w:rsid w:val="00C04BEC"/>
    <w:rsid w:val="00C04D98"/>
    <w:rsid w:val="00C04DC0"/>
    <w:rsid w:val="00C05253"/>
    <w:rsid w:val="00C0586B"/>
    <w:rsid w:val="00C058AA"/>
    <w:rsid w:val="00C05A9D"/>
    <w:rsid w:val="00C05B88"/>
    <w:rsid w:val="00C05D86"/>
    <w:rsid w:val="00C05E54"/>
    <w:rsid w:val="00C05F33"/>
    <w:rsid w:val="00C05F46"/>
    <w:rsid w:val="00C05F8B"/>
    <w:rsid w:val="00C0606D"/>
    <w:rsid w:val="00C060DF"/>
    <w:rsid w:val="00C06165"/>
    <w:rsid w:val="00C06657"/>
    <w:rsid w:val="00C066E8"/>
    <w:rsid w:val="00C06791"/>
    <w:rsid w:val="00C0689A"/>
    <w:rsid w:val="00C06944"/>
    <w:rsid w:val="00C06961"/>
    <w:rsid w:val="00C0699E"/>
    <w:rsid w:val="00C06D05"/>
    <w:rsid w:val="00C06D33"/>
    <w:rsid w:val="00C0709F"/>
    <w:rsid w:val="00C07133"/>
    <w:rsid w:val="00C07198"/>
    <w:rsid w:val="00C073BB"/>
    <w:rsid w:val="00C075FA"/>
    <w:rsid w:val="00C078FF"/>
    <w:rsid w:val="00C079A3"/>
    <w:rsid w:val="00C07B2E"/>
    <w:rsid w:val="00C07DD9"/>
    <w:rsid w:val="00C07F8C"/>
    <w:rsid w:val="00C07F90"/>
    <w:rsid w:val="00C07FDE"/>
    <w:rsid w:val="00C10017"/>
    <w:rsid w:val="00C10085"/>
    <w:rsid w:val="00C1022F"/>
    <w:rsid w:val="00C1075E"/>
    <w:rsid w:val="00C107DE"/>
    <w:rsid w:val="00C108B5"/>
    <w:rsid w:val="00C109AC"/>
    <w:rsid w:val="00C10A6F"/>
    <w:rsid w:val="00C10BEA"/>
    <w:rsid w:val="00C10F63"/>
    <w:rsid w:val="00C11232"/>
    <w:rsid w:val="00C1126B"/>
    <w:rsid w:val="00C11418"/>
    <w:rsid w:val="00C1178A"/>
    <w:rsid w:val="00C11D36"/>
    <w:rsid w:val="00C11F34"/>
    <w:rsid w:val="00C11FF6"/>
    <w:rsid w:val="00C12079"/>
    <w:rsid w:val="00C1250B"/>
    <w:rsid w:val="00C125F6"/>
    <w:rsid w:val="00C12892"/>
    <w:rsid w:val="00C12AE5"/>
    <w:rsid w:val="00C12D4E"/>
    <w:rsid w:val="00C12DFB"/>
    <w:rsid w:val="00C1300D"/>
    <w:rsid w:val="00C131C7"/>
    <w:rsid w:val="00C1322D"/>
    <w:rsid w:val="00C13370"/>
    <w:rsid w:val="00C133B4"/>
    <w:rsid w:val="00C134F9"/>
    <w:rsid w:val="00C13519"/>
    <w:rsid w:val="00C1365B"/>
    <w:rsid w:val="00C136EC"/>
    <w:rsid w:val="00C13C35"/>
    <w:rsid w:val="00C13CD9"/>
    <w:rsid w:val="00C13D73"/>
    <w:rsid w:val="00C14194"/>
    <w:rsid w:val="00C142AC"/>
    <w:rsid w:val="00C142D5"/>
    <w:rsid w:val="00C142F9"/>
    <w:rsid w:val="00C14349"/>
    <w:rsid w:val="00C1451F"/>
    <w:rsid w:val="00C14535"/>
    <w:rsid w:val="00C147C7"/>
    <w:rsid w:val="00C1484D"/>
    <w:rsid w:val="00C14AA4"/>
    <w:rsid w:val="00C14ABE"/>
    <w:rsid w:val="00C14B7F"/>
    <w:rsid w:val="00C14ED7"/>
    <w:rsid w:val="00C14F31"/>
    <w:rsid w:val="00C14FB5"/>
    <w:rsid w:val="00C15051"/>
    <w:rsid w:val="00C15072"/>
    <w:rsid w:val="00C15147"/>
    <w:rsid w:val="00C151D3"/>
    <w:rsid w:val="00C1526B"/>
    <w:rsid w:val="00C152CB"/>
    <w:rsid w:val="00C153F1"/>
    <w:rsid w:val="00C155BF"/>
    <w:rsid w:val="00C15673"/>
    <w:rsid w:val="00C156AE"/>
    <w:rsid w:val="00C15BD5"/>
    <w:rsid w:val="00C15C8D"/>
    <w:rsid w:val="00C15CF0"/>
    <w:rsid w:val="00C16051"/>
    <w:rsid w:val="00C16251"/>
    <w:rsid w:val="00C1630D"/>
    <w:rsid w:val="00C16440"/>
    <w:rsid w:val="00C16531"/>
    <w:rsid w:val="00C166C2"/>
    <w:rsid w:val="00C1696F"/>
    <w:rsid w:val="00C16AB8"/>
    <w:rsid w:val="00C16CF1"/>
    <w:rsid w:val="00C16D70"/>
    <w:rsid w:val="00C16E69"/>
    <w:rsid w:val="00C16E7B"/>
    <w:rsid w:val="00C17051"/>
    <w:rsid w:val="00C1719E"/>
    <w:rsid w:val="00C1737D"/>
    <w:rsid w:val="00C17A0D"/>
    <w:rsid w:val="00C17AB6"/>
    <w:rsid w:val="00C17C34"/>
    <w:rsid w:val="00C17F5C"/>
    <w:rsid w:val="00C17F87"/>
    <w:rsid w:val="00C20331"/>
    <w:rsid w:val="00C203A2"/>
    <w:rsid w:val="00C207A2"/>
    <w:rsid w:val="00C20A3B"/>
    <w:rsid w:val="00C20B20"/>
    <w:rsid w:val="00C20C39"/>
    <w:rsid w:val="00C20CF2"/>
    <w:rsid w:val="00C20E7E"/>
    <w:rsid w:val="00C20F7A"/>
    <w:rsid w:val="00C20FDD"/>
    <w:rsid w:val="00C21081"/>
    <w:rsid w:val="00C215CF"/>
    <w:rsid w:val="00C216FD"/>
    <w:rsid w:val="00C21879"/>
    <w:rsid w:val="00C218E2"/>
    <w:rsid w:val="00C21A11"/>
    <w:rsid w:val="00C21AC1"/>
    <w:rsid w:val="00C21B12"/>
    <w:rsid w:val="00C21C13"/>
    <w:rsid w:val="00C21C46"/>
    <w:rsid w:val="00C21FD0"/>
    <w:rsid w:val="00C2208B"/>
    <w:rsid w:val="00C22196"/>
    <w:rsid w:val="00C221EE"/>
    <w:rsid w:val="00C22505"/>
    <w:rsid w:val="00C22541"/>
    <w:rsid w:val="00C22962"/>
    <w:rsid w:val="00C22AC5"/>
    <w:rsid w:val="00C22D1A"/>
    <w:rsid w:val="00C23007"/>
    <w:rsid w:val="00C2311E"/>
    <w:rsid w:val="00C23143"/>
    <w:rsid w:val="00C23183"/>
    <w:rsid w:val="00C238A8"/>
    <w:rsid w:val="00C23A37"/>
    <w:rsid w:val="00C23C76"/>
    <w:rsid w:val="00C23D64"/>
    <w:rsid w:val="00C24019"/>
    <w:rsid w:val="00C241EC"/>
    <w:rsid w:val="00C241ED"/>
    <w:rsid w:val="00C243E7"/>
    <w:rsid w:val="00C2459C"/>
    <w:rsid w:val="00C246A2"/>
    <w:rsid w:val="00C24736"/>
    <w:rsid w:val="00C2473A"/>
    <w:rsid w:val="00C24910"/>
    <w:rsid w:val="00C24947"/>
    <w:rsid w:val="00C24961"/>
    <w:rsid w:val="00C24AE7"/>
    <w:rsid w:val="00C24D59"/>
    <w:rsid w:val="00C24E56"/>
    <w:rsid w:val="00C25111"/>
    <w:rsid w:val="00C25229"/>
    <w:rsid w:val="00C252A5"/>
    <w:rsid w:val="00C252C4"/>
    <w:rsid w:val="00C253BB"/>
    <w:rsid w:val="00C255BA"/>
    <w:rsid w:val="00C255CF"/>
    <w:rsid w:val="00C257A3"/>
    <w:rsid w:val="00C2597B"/>
    <w:rsid w:val="00C25A24"/>
    <w:rsid w:val="00C25A81"/>
    <w:rsid w:val="00C25B40"/>
    <w:rsid w:val="00C25DEC"/>
    <w:rsid w:val="00C26019"/>
    <w:rsid w:val="00C2646D"/>
    <w:rsid w:val="00C26492"/>
    <w:rsid w:val="00C267A7"/>
    <w:rsid w:val="00C267F0"/>
    <w:rsid w:val="00C268A8"/>
    <w:rsid w:val="00C269FF"/>
    <w:rsid w:val="00C26BDB"/>
    <w:rsid w:val="00C26CE6"/>
    <w:rsid w:val="00C26EF1"/>
    <w:rsid w:val="00C27300"/>
    <w:rsid w:val="00C2746E"/>
    <w:rsid w:val="00C274B6"/>
    <w:rsid w:val="00C274C6"/>
    <w:rsid w:val="00C2757F"/>
    <w:rsid w:val="00C27B04"/>
    <w:rsid w:val="00C27B5E"/>
    <w:rsid w:val="00C27C02"/>
    <w:rsid w:val="00C30088"/>
    <w:rsid w:val="00C30205"/>
    <w:rsid w:val="00C30305"/>
    <w:rsid w:val="00C30786"/>
    <w:rsid w:val="00C30D6E"/>
    <w:rsid w:val="00C30DA9"/>
    <w:rsid w:val="00C30DAA"/>
    <w:rsid w:val="00C30DEA"/>
    <w:rsid w:val="00C30F9D"/>
    <w:rsid w:val="00C310EE"/>
    <w:rsid w:val="00C31174"/>
    <w:rsid w:val="00C312EA"/>
    <w:rsid w:val="00C3135E"/>
    <w:rsid w:val="00C315A9"/>
    <w:rsid w:val="00C316ED"/>
    <w:rsid w:val="00C31935"/>
    <w:rsid w:val="00C31E48"/>
    <w:rsid w:val="00C31E5D"/>
    <w:rsid w:val="00C31EAF"/>
    <w:rsid w:val="00C32077"/>
    <w:rsid w:val="00C321BF"/>
    <w:rsid w:val="00C32222"/>
    <w:rsid w:val="00C323D5"/>
    <w:rsid w:val="00C32659"/>
    <w:rsid w:val="00C32902"/>
    <w:rsid w:val="00C32A25"/>
    <w:rsid w:val="00C32BAA"/>
    <w:rsid w:val="00C32C34"/>
    <w:rsid w:val="00C32CE5"/>
    <w:rsid w:val="00C32EAD"/>
    <w:rsid w:val="00C32FA3"/>
    <w:rsid w:val="00C3302B"/>
    <w:rsid w:val="00C3353A"/>
    <w:rsid w:val="00C338E0"/>
    <w:rsid w:val="00C33914"/>
    <w:rsid w:val="00C33AEE"/>
    <w:rsid w:val="00C33D34"/>
    <w:rsid w:val="00C34010"/>
    <w:rsid w:val="00C34162"/>
    <w:rsid w:val="00C3417B"/>
    <w:rsid w:val="00C34281"/>
    <w:rsid w:val="00C34360"/>
    <w:rsid w:val="00C34361"/>
    <w:rsid w:val="00C3436F"/>
    <w:rsid w:val="00C3446B"/>
    <w:rsid w:val="00C34549"/>
    <w:rsid w:val="00C34855"/>
    <w:rsid w:val="00C34BF2"/>
    <w:rsid w:val="00C34C19"/>
    <w:rsid w:val="00C350C6"/>
    <w:rsid w:val="00C351F6"/>
    <w:rsid w:val="00C35235"/>
    <w:rsid w:val="00C35422"/>
    <w:rsid w:val="00C354C9"/>
    <w:rsid w:val="00C357BC"/>
    <w:rsid w:val="00C35857"/>
    <w:rsid w:val="00C35A40"/>
    <w:rsid w:val="00C35E90"/>
    <w:rsid w:val="00C35FF2"/>
    <w:rsid w:val="00C36016"/>
    <w:rsid w:val="00C36102"/>
    <w:rsid w:val="00C36190"/>
    <w:rsid w:val="00C362F7"/>
    <w:rsid w:val="00C36305"/>
    <w:rsid w:val="00C36899"/>
    <w:rsid w:val="00C369C2"/>
    <w:rsid w:val="00C36B2D"/>
    <w:rsid w:val="00C36B7C"/>
    <w:rsid w:val="00C36CCB"/>
    <w:rsid w:val="00C36D71"/>
    <w:rsid w:val="00C36DC7"/>
    <w:rsid w:val="00C36E92"/>
    <w:rsid w:val="00C36EB8"/>
    <w:rsid w:val="00C36EBC"/>
    <w:rsid w:val="00C36EE3"/>
    <w:rsid w:val="00C36F2F"/>
    <w:rsid w:val="00C36FB9"/>
    <w:rsid w:val="00C37426"/>
    <w:rsid w:val="00C374DA"/>
    <w:rsid w:val="00C37A3D"/>
    <w:rsid w:val="00C37A43"/>
    <w:rsid w:val="00C37CC9"/>
    <w:rsid w:val="00C37D81"/>
    <w:rsid w:val="00C37E72"/>
    <w:rsid w:val="00C37F39"/>
    <w:rsid w:val="00C37F59"/>
    <w:rsid w:val="00C4002C"/>
    <w:rsid w:val="00C40303"/>
    <w:rsid w:val="00C40341"/>
    <w:rsid w:val="00C40409"/>
    <w:rsid w:val="00C4044A"/>
    <w:rsid w:val="00C40672"/>
    <w:rsid w:val="00C40925"/>
    <w:rsid w:val="00C40AEA"/>
    <w:rsid w:val="00C40B5E"/>
    <w:rsid w:val="00C40F73"/>
    <w:rsid w:val="00C40F7C"/>
    <w:rsid w:val="00C41045"/>
    <w:rsid w:val="00C41155"/>
    <w:rsid w:val="00C41476"/>
    <w:rsid w:val="00C416CD"/>
    <w:rsid w:val="00C417B8"/>
    <w:rsid w:val="00C4192B"/>
    <w:rsid w:val="00C41A07"/>
    <w:rsid w:val="00C41ACC"/>
    <w:rsid w:val="00C41BED"/>
    <w:rsid w:val="00C41D8E"/>
    <w:rsid w:val="00C4223E"/>
    <w:rsid w:val="00C42348"/>
    <w:rsid w:val="00C423DC"/>
    <w:rsid w:val="00C424C2"/>
    <w:rsid w:val="00C42611"/>
    <w:rsid w:val="00C427FB"/>
    <w:rsid w:val="00C42955"/>
    <w:rsid w:val="00C42B0B"/>
    <w:rsid w:val="00C42C0A"/>
    <w:rsid w:val="00C42C33"/>
    <w:rsid w:val="00C42C88"/>
    <w:rsid w:val="00C42DA6"/>
    <w:rsid w:val="00C42F19"/>
    <w:rsid w:val="00C4309B"/>
    <w:rsid w:val="00C43348"/>
    <w:rsid w:val="00C434BC"/>
    <w:rsid w:val="00C43672"/>
    <w:rsid w:val="00C43758"/>
    <w:rsid w:val="00C43959"/>
    <w:rsid w:val="00C43C19"/>
    <w:rsid w:val="00C43CB1"/>
    <w:rsid w:val="00C44209"/>
    <w:rsid w:val="00C44294"/>
    <w:rsid w:val="00C4443E"/>
    <w:rsid w:val="00C44AB9"/>
    <w:rsid w:val="00C44CFA"/>
    <w:rsid w:val="00C44D1F"/>
    <w:rsid w:val="00C44D4E"/>
    <w:rsid w:val="00C4539C"/>
    <w:rsid w:val="00C4564D"/>
    <w:rsid w:val="00C4578D"/>
    <w:rsid w:val="00C4589C"/>
    <w:rsid w:val="00C458E0"/>
    <w:rsid w:val="00C45E25"/>
    <w:rsid w:val="00C45E45"/>
    <w:rsid w:val="00C46025"/>
    <w:rsid w:val="00C46103"/>
    <w:rsid w:val="00C46199"/>
    <w:rsid w:val="00C46644"/>
    <w:rsid w:val="00C4678A"/>
    <w:rsid w:val="00C46794"/>
    <w:rsid w:val="00C4684B"/>
    <w:rsid w:val="00C46C00"/>
    <w:rsid w:val="00C46E12"/>
    <w:rsid w:val="00C46E51"/>
    <w:rsid w:val="00C46EAD"/>
    <w:rsid w:val="00C47112"/>
    <w:rsid w:val="00C47287"/>
    <w:rsid w:val="00C47289"/>
    <w:rsid w:val="00C47305"/>
    <w:rsid w:val="00C47407"/>
    <w:rsid w:val="00C47489"/>
    <w:rsid w:val="00C47515"/>
    <w:rsid w:val="00C476D1"/>
    <w:rsid w:val="00C479B0"/>
    <w:rsid w:val="00C47B72"/>
    <w:rsid w:val="00C47C3C"/>
    <w:rsid w:val="00C47D9F"/>
    <w:rsid w:val="00C500A3"/>
    <w:rsid w:val="00C50125"/>
    <w:rsid w:val="00C502ED"/>
    <w:rsid w:val="00C5031F"/>
    <w:rsid w:val="00C50608"/>
    <w:rsid w:val="00C50644"/>
    <w:rsid w:val="00C50745"/>
    <w:rsid w:val="00C50BA5"/>
    <w:rsid w:val="00C50E43"/>
    <w:rsid w:val="00C50FE7"/>
    <w:rsid w:val="00C510E9"/>
    <w:rsid w:val="00C51400"/>
    <w:rsid w:val="00C51483"/>
    <w:rsid w:val="00C51493"/>
    <w:rsid w:val="00C5157C"/>
    <w:rsid w:val="00C5186D"/>
    <w:rsid w:val="00C51BCC"/>
    <w:rsid w:val="00C52073"/>
    <w:rsid w:val="00C520AB"/>
    <w:rsid w:val="00C52347"/>
    <w:rsid w:val="00C5241E"/>
    <w:rsid w:val="00C524B6"/>
    <w:rsid w:val="00C5256B"/>
    <w:rsid w:val="00C529DF"/>
    <w:rsid w:val="00C529FD"/>
    <w:rsid w:val="00C52B23"/>
    <w:rsid w:val="00C52B79"/>
    <w:rsid w:val="00C5301F"/>
    <w:rsid w:val="00C530B4"/>
    <w:rsid w:val="00C530DD"/>
    <w:rsid w:val="00C53250"/>
    <w:rsid w:val="00C532E1"/>
    <w:rsid w:val="00C53370"/>
    <w:rsid w:val="00C5339B"/>
    <w:rsid w:val="00C533A1"/>
    <w:rsid w:val="00C53552"/>
    <w:rsid w:val="00C53568"/>
    <w:rsid w:val="00C5384E"/>
    <w:rsid w:val="00C538B3"/>
    <w:rsid w:val="00C53A35"/>
    <w:rsid w:val="00C53BD2"/>
    <w:rsid w:val="00C53C0B"/>
    <w:rsid w:val="00C53C47"/>
    <w:rsid w:val="00C53E9B"/>
    <w:rsid w:val="00C53ECB"/>
    <w:rsid w:val="00C53FDA"/>
    <w:rsid w:val="00C543E2"/>
    <w:rsid w:val="00C549B9"/>
    <w:rsid w:val="00C549F5"/>
    <w:rsid w:val="00C54BCA"/>
    <w:rsid w:val="00C54CE1"/>
    <w:rsid w:val="00C551C6"/>
    <w:rsid w:val="00C553F0"/>
    <w:rsid w:val="00C55559"/>
    <w:rsid w:val="00C5563C"/>
    <w:rsid w:val="00C559D9"/>
    <w:rsid w:val="00C55A02"/>
    <w:rsid w:val="00C55CF5"/>
    <w:rsid w:val="00C55F93"/>
    <w:rsid w:val="00C56095"/>
    <w:rsid w:val="00C563C8"/>
    <w:rsid w:val="00C563E4"/>
    <w:rsid w:val="00C5657F"/>
    <w:rsid w:val="00C565F9"/>
    <w:rsid w:val="00C565FF"/>
    <w:rsid w:val="00C5674E"/>
    <w:rsid w:val="00C56779"/>
    <w:rsid w:val="00C568A1"/>
    <w:rsid w:val="00C568B3"/>
    <w:rsid w:val="00C56B25"/>
    <w:rsid w:val="00C56BFE"/>
    <w:rsid w:val="00C57245"/>
    <w:rsid w:val="00C57519"/>
    <w:rsid w:val="00C5764C"/>
    <w:rsid w:val="00C5780B"/>
    <w:rsid w:val="00C604F5"/>
    <w:rsid w:val="00C60832"/>
    <w:rsid w:val="00C608F8"/>
    <w:rsid w:val="00C60EA7"/>
    <w:rsid w:val="00C60EFB"/>
    <w:rsid w:val="00C60FF9"/>
    <w:rsid w:val="00C61126"/>
    <w:rsid w:val="00C61192"/>
    <w:rsid w:val="00C613B1"/>
    <w:rsid w:val="00C6153E"/>
    <w:rsid w:val="00C616C3"/>
    <w:rsid w:val="00C6179B"/>
    <w:rsid w:val="00C617D4"/>
    <w:rsid w:val="00C61861"/>
    <w:rsid w:val="00C6191E"/>
    <w:rsid w:val="00C61A66"/>
    <w:rsid w:val="00C61B9B"/>
    <w:rsid w:val="00C61CA0"/>
    <w:rsid w:val="00C61CAB"/>
    <w:rsid w:val="00C622AA"/>
    <w:rsid w:val="00C62444"/>
    <w:rsid w:val="00C625B7"/>
    <w:rsid w:val="00C62894"/>
    <w:rsid w:val="00C628EA"/>
    <w:rsid w:val="00C62977"/>
    <w:rsid w:val="00C62AE5"/>
    <w:rsid w:val="00C62CF5"/>
    <w:rsid w:val="00C62D34"/>
    <w:rsid w:val="00C62D35"/>
    <w:rsid w:val="00C62E82"/>
    <w:rsid w:val="00C62FA9"/>
    <w:rsid w:val="00C6305E"/>
    <w:rsid w:val="00C631C6"/>
    <w:rsid w:val="00C6351C"/>
    <w:rsid w:val="00C63553"/>
    <w:rsid w:val="00C638D1"/>
    <w:rsid w:val="00C638EE"/>
    <w:rsid w:val="00C63A42"/>
    <w:rsid w:val="00C63AE7"/>
    <w:rsid w:val="00C63B89"/>
    <w:rsid w:val="00C63BFD"/>
    <w:rsid w:val="00C64117"/>
    <w:rsid w:val="00C64127"/>
    <w:rsid w:val="00C6434D"/>
    <w:rsid w:val="00C643C2"/>
    <w:rsid w:val="00C64465"/>
    <w:rsid w:val="00C64506"/>
    <w:rsid w:val="00C647B1"/>
    <w:rsid w:val="00C647BA"/>
    <w:rsid w:val="00C64B81"/>
    <w:rsid w:val="00C64BD5"/>
    <w:rsid w:val="00C64C47"/>
    <w:rsid w:val="00C64CD5"/>
    <w:rsid w:val="00C64D42"/>
    <w:rsid w:val="00C64EF2"/>
    <w:rsid w:val="00C64FB3"/>
    <w:rsid w:val="00C6521D"/>
    <w:rsid w:val="00C65246"/>
    <w:rsid w:val="00C652CA"/>
    <w:rsid w:val="00C652CC"/>
    <w:rsid w:val="00C65592"/>
    <w:rsid w:val="00C655D7"/>
    <w:rsid w:val="00C6573A"/>
    <w:rsid w:val="00C658D4"/>
    <w:rsid w:val="00C658DA"/>
    <w:rsid w:val="00C65930"/>
    <w:rsid w:val="00C659C3"/>
    <w:rsid w:val="00C65B15"/>
    <w:rsid w:val="00C65B58"/>
    <w:rsid w:val="00C66020"/>
    <w:rsid w:val="00C660AD"/>
    <w:rsid w:val="00C66621"/>
    <w:rsid w:val="00C6693F"/>
    <w:rsid w:val="00C66B14"/>
    <w:rsid w:val="00C66B18"/>
    <w:rsid w:val="00C66D19"/>
    <w:rsid w:val="00C66D33"/>
    <w:rsid w:val="00C66D7B"/>
    <w:rsid w:val="00C66D90"/>
    <w:rsid w:val="00C66E73"/>
    <w:rsid w:val="00C66EE7"/>
    <w:rsid w:val="00C67180"/>
    <w:rsid w:val="00C67251"/>
    <w:rsid w:val="00C6738D"/>
    <w:rsid w:val="00C674B7"/>
    <w:rsid w:val="00C67530"/>
    <w:rsid w:val="00C67579"/>
    <w:rsid w:val="00C676F5"/>
    <w:rsid w:val="00C67739"/>
    <w:rsid w:val="00C67749"/>
    <w:rsid w:val="00C679DE"/>
    <w:rsid w:val="00C67BE4"/>
    <w:rsid w:val="00C67CBD"/>
    <w:rsid w:val="00C67DEF"/>
    <w:rsid w:val="00C67ECA"/>
    <w:rsid w:val="00C7004E"/>
    <w:rsid w:val="00C70191"/>
    <w:rsid w:val="00C701E6"/>
    <w:rsid w:val="00C7034D"/>
    <w:rsid w:val="00C70456"/>
    <w:rsid w:val="00C707DA"/>
    <w:rsid w:val="00C70862"/>
    <w:rsid w:val="00C7093A"/>
    <w:rsid w:val="00C70993"/>
    <w:rsid w:val="00C70C7F"/>
    <w:rsid w:val="00C70C84"/>
    <w:rsid w:val="00C70CC9"/>
    <w:rsid w:val="00C71245"/>
    <w:rsid w:val="00C715D5"/>
    <w:rsid w:val="00C71618"/>
    <w:rsid w:val="00C71717"/>
    <w:rsid w:val="00C7189B"/>
    <w:rsid w:val="00C7194B"/>
    <w:rsid w:val="00C719AC"/>
    <w:rsid w:val="00C71AF7"/>
    <w:rsid w:val="00C71AFC"/>
    <w:rsid w:val="00C71C9C"/>
    <w:rsid w:val="00C71DF0"/>
    <w:rsid w:val="00C71EE0"/>
    <w:rsid w:val="00C71F13"/>
    <w:rsid w:val="00C72031"/>
    <w:rsid w:val="00C7203A"/>
    <w:rsid w:val="00C7251F"/>
    <w:rsid w:val="00C726AB"/>
    <w:rsid w:val="00C726D2"/>
    <w:rsid w:val="00C7285B"/>
    <w:rsid w:val="00C728E6"/>
    <w:rsid w:val="00C7294E"/>
    <w:rsid w:val="00C72A7F"/>
    <w:rsid w:val="00C72B89"/>
    <w:rsid w:val="00C72BD3"/>
    <w:rsid w:val="00C7306F"/>
    <w:rsid w:val="00C73139"/>
    <w:rsid w:val="00C73607"/>
    <w:rsid w:val="00C7367A"/>
    <w:rsid w:val="00C73886"/>
    <w:rsid w:val="00C73AE0"/>
    <w:rsid w:val="00C73D26"/>
    <w:rsid w:val="00C73D41"/>
    <w:rsid w:val="00C73D6A"/>
    <w:rsid w:val="00C73E24"/>
    <w:rsid w:val="00C73F4F"/>
    <w:rsid w:val="00C73F7A"/>
    <w:rsid w:val="00C740CB"/>
    <w:rsid w:val="00C741B1"/>
    <w:rsid w:val="00C7425C"/>
    <w:rsid w:val="00C74261"/>
    <w:rsid w:val="00C7433C"/>
    <w:rsid w:val="00C7434B"/>
    <w:rsid w:val="00C744A7"/>
    <w:rsid w:val="00C74535"/>
    <w:rsid w:val="00C748E2"/>
    <w:rsid w:val="00C7494B"/>
    <w:rsid w:val="00C7499F"/>
    <w:rsid w:val="00C74A7A"/>
    <w:rsid w:val="00C74B2F"/>
    <w:rsid w:val="00C74E59"/>
    <w:rsid w:val="00C74F2F"/>
    <w:rsid w:val="00C75185"/>
    <w:rsid w:val="00C75212"/>
    <w:rsid w:val="00C752F8"/>
    <w:rsid w:val="00C7544E"/>
    <w:rsid w:val="00C7556D"/>
    <w:rsid w:val="00C755EA"/>
    <w:rsid w:val="00C758C3"/>
    <w:rsid w:val="00C75A16"/>
    <w:rsid w:val="00C75A5F"/>
    <w:rsid w:val="00C75C1B"/>
    <w:rsid w:val="00C75D22"/>
    <w:rsid w:val="00C7623A"/>
    <w:rsid w:val="00C764EA"/>
    <w:rsid w:val="00C76516"/>
    <w:rsid w:val="00C76827"/>
    <w:rsid w:val="00C7687A"/>
    <w:rsid w:val="00C768D9"/>
    <w:rsid w:val="00C76B58"/>
    <w:rsid w:val="00C76DC3"/>
    <w:rsid w:val="00C76F93"/>
    <w:rsid w:val="00C770DE"/>
    <w:rsid w:val="00C77194"/>
    <w:rsid w:val="00C771DC"/>
    <w:rsid w:val="00C773BF"/>
    <w:rsid w:val="00C7740E"/>
    <w:rsid w:val="00C774EF"/>
    <w:rsid w:val="00C775B5"/>
    <w:rsid w:val="00C77735"/>
    <w:rsid w:val="00C777D7"/>
    <w:rsid w:val="00C777DA"/>
    <w:rsid w:val="00C77BE9"/>
    <w:rsid w:val="00C80022"/>
    <w:rsid w:val="00C80127"/>
    <w:rsid w:val="00C801E9"/>
    <w:rsid w:val="00C80678"/>
    <w:rsid w:val="00C8067F"/>
    <w:rsid w:val="00C806A1"/>
    <w:rsid w:val="00C8078E"/>
    <w:rsid w:val="00C80895"/>
    <w:rsid w:val="00C80951"/>
    <w:rsid w:val="00C80B66"/>
    <w:rsid w:val="00C80BCD"/>
    <w:rsid w:val="00C8108B"/>
    <w:rsid w:val="00C811C1"/>
    <w:rsid w:val="00C8149B"/>
    <w:rsid w:val="00C8179E"/>
    <w:rsid w:val="00C81E27"/>
    <w:rsid w:val="00C82042"/>
    <w:rsid w:val="00C820BC"/>
    <w:rsid w:val="00C82171"/>
    <w:rsid w:val="00C8231E"/>
    <w:rsid w:val="00C8249C"/>
    <w:rsid w:val="00C82765"/>
    <w:rsid w:val="00C82883"/>
    <w:rsid w:val="00C82887"/>
    <w:rsid w:val="00C8297B"/>
    <w:rsid w:val="00C82B1E"/>
    <w:rsid w:val="00C82B86"/>
    <w:rsid w:val="00C82CAF"/>
    <w:rsid w:val="00C82E16"/>
    <w:rsid w:val="00C82E78"/>
    <w:rsid w:val="00C82F44"/>
    <w:rsid w:val="00C8313A"/>
    <w:rsid w:val="00C8321D"/>
    <w:rsid w:val="00C8339B"/>
    <w:rsid w:val="00C83850"/>
    <w:rsid w:val="00C83951"/>
    <w:rsid w:val="00C83A4B"/>
    <w:rsid w:val="00C83AA6"/>
    <w:rsid w:val="00C83BE3"/>
    <w:rsid w:val="00C83F97"/>
    <w:rsid w:val="00C83FF9"/>
    <w:rsid w:val="00C84251"/>
    <w:rsid w:val="00C842EA"/>
    <w:rsid w:val="00C843CD"/>
    <w:rsid w:val="00C84485"/>
    <w:rsid w:val="00C844BE"/>
    <w:rsid w:val="00C844ED"/>
    <w:rsid w:val="00C84897"/>
    <w:rsid w:val="00C849DD"/>
    <w:rsid w:val="00C84A56"/>
    <w:rsid w:val="00C84FFE"/>
    <w:rsid w:val="00C85540"/>
    <w:rsid w:val="00C856E9"/>
    <w:rsid w:val="00C8593D"/>
    <w:rsid w:val="00C859A9"/>
    <w:rsid w:val="00C85C2D"/>
    <w:rsid w:val="00C85CB0"/>
    <w:rsid w:val="00C85D68"/>
    <w:rsid w:val="00C85E16"/>
    <w:rsid w:val="00C85EAF"/>
    <w:rsid w:val="00C8617F"/>
    <w:rsid w:val="00C861A3"/>
    <w:rsid w:val="00C863BC"/>
    <w:rsid w:val="00C864F3"/>
    <w:rsid w:val="00C866F0"/>
    <w:rsid w:val="00C86731"/>
    <w:rsid w:val="00C86CE9"/>
    <w:rsid w:val="00C86DFB"/>
    <w:rsid w:val="00C86F13"/>
    <w:rsid w:val="00C87125"/>
    <w:rsid w:val="00C874BE"/>
    <w:rsid w:val="00C87537"/>
    <w:rsid w:val="00C87C1A"/>
    <w:rsid w:val="00C87FE4"/>
    <w:rsid w:val="00C9036B"/>
    <w:rsid w:val="00C90445"/>
    <w:rsid w:val="00C904FE"/>
    <w:rsid w:val="00C9087B"/>
    <w:rsid w:val="00C90ABE"/>
    <w:rsid w:val="00C90AC6"/>
    <w:rsid w:val="00C90B35"/>
    <w:rsid w:val="00C90CC2"/>
    <w:rsid w:val="00C90EB4"/>
    <w:rsid w:val="00C91030"/>
    <w:rsid w:val="00C9109A"/>
    <w:rsid w:val="00C9117F"/>
    <w:rsid w:val="00C911AA"/>
    <w:rsid w:val="00C912E0"/>
    <w:rsid w:val="00C913A2"/>
    <w:rsid w:val="00C914F9"/>
    <w:rsid w:val="00C91916"/>
    <w:rsid w:val="00C91B5B"/>
    <w:rsid w:val="00C91F81"/>
    <w:rsid w:val="00C92595"/>
    <w:rsid w:val="00C926C3"/>
    <w:rsid w:val="00C9277C"/>
    <w:rsid w:val="00C9294B"/>
    <w:rsid w:val="00C9298E"/>
    <w:rsid w:val="00C92A05"/>
    <w:rsid w:val="00C92B1B"/>
    <w:rsid w:val="00C92EAB"/>
    <w:rsid w:val="00C92F00"/>
    <w:rsid w:val="00C92F08"/>
    <w:rsid w:val="00C930B9"/>
    <w:rsid w:val="00C932A6"/>
    <w:rsid w:val="00C93363"/>
    <w:rsid w:val="00C933C0"/>
    <w:rsid w:val="00C9355F"/>
    <w:rsid w:val="00C9370B"/>
    <w:rsid w:val="00C9373D"/>
    <w:rsid w:val="00C937BB"/>
    <w:rsid w:val="00C9380A"/>
    <w:rsid w:val="00C9387C"/>
    <w:rsid w:val="00C938DD"/>
    <w:rsid w:val="00C93A88"/>
    <w:rsid w:val="00C93BC9"/>
    <w:rsid w:val="00C93C35"/>
    <w:rsid w:val="00C93C4B"/>
    <w:rsid w:val="00C93C4C"/>
    <w:rsid w:val="00C9430C"/>
    <w:rsid w:val="00C94616"/>
    <w:rsid w:val="00C949ED"/>
    <w:rsid w:val="00C94A1C"/>
    <w:rsid w:val="00C94AA1"/>
    <w:rsid w:val="00C94DC5"/>
    <w:rsid w:val="00C94E1E"/>
    <w:rsid w:val="00C94EAE"/>
    <w:rsid w:val="00C9528C"/>
    <w:rsid w:val="00C953DE"/>
    <w:rsid w:val="00C9543C"/>
    <w:rsid w:val="00C955E3"/>
    <w:rsid w:val="00C9579F"/>
    <w:rsid w:val="00C95A63"/>
    <w:rsid w:val="00C95A7B"/>
    <w:rsid w:val="00C95B3E"/>
    <w:rsid w:val="00C95D49"/>
    <w:rsid w:val="00C96144"/>
    <w:rsid w:val="00C961D1"/>
    <w:rsid w:val="00C9672D"/>
    <w:rsid w:val="00C9673F"/>
    <w:rsid w:val="00C96AC2"/>
    <w:rsid w:val="00C96E34"/>
    <w:rsid w:val="00C96E3B"/>
    <w:rsid w:val="00C97014"/>
    <w:rsid w:val="00C970FA"/>
    <w:rsid w:val="00C974C0"/>
    <w:rsid w:val="00C97834"/>
    <w:rsid w:val="00C97859"/>
    <w:rsid w:val="00C97E60"/>
    <w:rsid w:val="00C97E76"/>
    <w:rsid w:val="00C97ED9"/>
    <w:rsid w:val="00C97F4F"/>
    <w:rsid w:val="00CA0066"/>
    <w:rsid w:val="00CA02B0"/>
    <w:rsid w:val="00CA02F9"/>
    <w:rsid w:val="00CA02FC"/>
    <w:rsid w:val="00CA06DD"/>
    <w:rsid w:val="00CA06F4"/>
    <w:rsid w:val="00CA074E"/>
    <w:rsid w:val="00CA07B3"/>
    <w:rsid w:val="00CA0983"/>
    <w:rsid w:val="00CA0AD5"/>
    <w:rsid w:val="00CA0B99"/>
    <w:rsid w:val="00CA0C84"/>
    <w:rsid w:val="00CA11B1"/>
    <w:rsid w:val="00CA135A"/>
    <w:rsid w:val="00CA135C"/>
    <w:rsid w:val="00CA15E6"/>
    <w:rsid w:val="00CA1663"/>
    <w:rsid w:val="00CA17FF"/>
    <w:rsid w:val="00CA1BA5"/>
    <w:rsid w:val="00CA1E73"/>
    <w:rsid w:val="00CA20E3"/>
    <w:rsid w:val="00CA22EE"/>
    <w:rsid w:val="00CA2351"/>
    <w:rsid w:val="00CA2513"/>
    <w:rsid w:val="00CA278A"/>
    <w:rsid w:val="00CA286B"/>
    <w:rsid w:val="00CA292A"/>
    <w:rsid w:val="00CA2E31"/>
    <w:rsid w:val="00CA2E65"/>
    <w:rsid w:val="00CA2EE5"/>
    <w:rsid w:val="00CA3346"/>
    <w:rsid w:val="00CA3442"/>
    <w:rsid w:val="00CA349B"/>
    <w:rsid w:val="00CA3595"/>
    <w:rsid w:val="00CA3774"/>
    <w:rsid w:val="00CA37CE"/>
    <w:rsid w:val="00CA3885"/>
    <w:rsid w:val="00CA38F2"/>
    <w:rsid w:val="00CA3917"/>
    <w:rsid w:val="00CA3A69"/>
    <w:rsid w:val="00CA3A6B"/>
    <w:rsid w:val="00CA3C1D"/>
    <w:rsid w:val="00CA3C87"/>
    <w:rsid w:val="00CA3E60"/>
    <w:rsid w:val="00CA3E7B"/>
    <w:rsid w:val="00CA3FD5"/>
    <w:rsid w:val="00CA440F"/>
    <w:rsid w:val="00CA4442"/>
    <w:rsid w:val="00CA4567"/>
    <w:rsid w:val="00CA457D"/>
    <w:rsid w:val="00CA45DB"/>
    <w:rsid w:val="00CA48E2"/>
    <w:rsid w:val="00CA49BD"/>
    <w:rsid w:val="00CA4A9B"/>
    <w:rsid w:val="00CA4B6D"/>
    <w:rsid w:val="00CA4B7F"/>
    <w:rsid w:val="00CA4C92"/>
    <w:rsid w:val="00CA4CBF"/>
    <w:rsid w:val="00CA4DF7"/>
    <w:rsid w:val="00CA4E4C"/>
    <w:rsid w:val="00CA5293"/>
    <w:rsid w:val="00CA552D"/>
    <w:rsid w:val="00CA5798"/>
    <w:rsid w:val="00CA57C0"/>
    <w:rsid w:val="00CA5810"/>
    <w:rsid w:val="00CA58BE"/>
    <w:rsid w:val="00CA5CBE"/>
    <w:rsid w:val="00CA5E47"/>
    <w:rsid w:val="00CA5ECC"/>
    <w:rsid w:val="00CA65C0"/>
    <w:rsid w:val="00CA689C"/>
    <w:rsid w:val="00CA6AED"/>
    <w:rsid w:val="00CA6C9F"/>
    <w:rsid w:val="00CA6CD3"/>
    <w:rsid w:val="00CA6ED1"/>
    <w:rsid w:val="00CA6EEC"/>
    <w:rsid w:val="00CA70D6"/>
    <w:rsid w:val="00CA7150"/>
    <w:rsid w:val="00CA7684"/>
    <w:rsid w:val="00CA77B0"/>
    <w:rsid w:val="00CA7B24"/>
    <w:rsid w:val="00CA7C7C"/>
    <w:rsid w:val="00CA7EC4"/>
    <w:rsid w:val="00CA7FE0"/>
    <w:rsid w:val="00CB0036"/>
    <w:rsid w:val="00CB0104"/>
    <w:rsid w:val="00CB01FF"/>
    <w:rsid w:val="00CB02E1"/>
    <w:rsid w:val="00CB036A"/>
    <w:rsid w:val="00CB03A5"/>
    <w:rsid w:val="00CB06F3"/>
    <w:rsid w:val="00CB0EB6"/>
    <w:rsid w:val="00CB1185"/>
    <w:rsid w:val="00CB12EB"/>
    <w:rsid w:val="00CB147C"/>
    <w:rsid w:val="00CB152D"/>
    <w:rsid w:val="00CB1576"/>
    <w:rsid w:val="00CB15AF"/>
    <w:rsid w:val="00CB1759"/>
    <w:rsid w:val="00CB1794"/>
    <w:rsid w:val="00CB1DF8"/>
    <w:rsid w:val="00CB2006"/>
    <w:rsid w:val="00CB2008"/>
    <w:rsid w:val="00CB2400"/>
    <w:rsid w:val="00CB247E"/>
    <w:rsid w:val="00CB28CC"/>
    <w:rsid w:val="00CB2C40"/>
    <w:rsid w:val="00CB31C1"/>
    <w:rsid w:val="00CB31DB"/>
    <w:rsid w:val="00CB43E6"/>
    <w:rsid w:val="00CB4666"/>
    <w:rsid w:val="00CB4688"/>
    <w:rsid w:val="00CB46B0"/>
    <w:rsid w:val="00CB4988"/>
    <w:rsid w:val="00CB4A6A"/>
    <w:rsid w:val="00CB4B85"/>
    <w:rsid w:val="00CB4F01"/>
    <w:rsid w:val="00CB4F31"/>
    <w:rsid w:val="00CB4F6F"/>
    <w:rsid w:val="00CB50C9"/>
    <w:rsid w:val="00CB518D"/>
    <w:rsid w:val="00CB55B8"/>
    <w:rsid w:val="00CB5D77"/>
    <w:rsid w:val="00CB634F"/>
    <w:rsid w:val="00CB6366"/>
    <w:rsid w:val="00CB6430"/>
    <w:rsid w:val="00CB64CF"/>
    <w:rsid w:val="00CB6622"/>
    <w:rsid w:val="00CB6662"/>
    <w:rsid w:val="00CB66C0"/>
    <w:rsid w:val="00CB6AB6"/>
    <w:rsid w:val="00CB6C51"/>
    <w:rsid w:val="00CB6C9D"/>
    <w:rsid w:val="00CB6EAF"/>
    <w:rsid w:val="00CB6F3C"/>
    <w:rsid w:val="00CB6FCD"/>
    <w:rsid w:val="00CB6FE2"/>
    <w:rsid w:val="00CB7076"/>
    <w:rsid w:val="00CB70AD"/>
    <w:rsid w:val="00CB73D1"/>
    <w:rsid w:val="00CB73D5"/>
    <w:rsid w:val="00CB7462"/>
    <w:rsid w:val="00CB7810"/>
    <w:rsid w:val="00CB795B"/>
    <w:rsid w:val="00CB7980"/>
    <w:rsid w:val="00CB7B65"/>
    <w:rsid w:val="00CB7E6E"/>
    <w:rsid w:val="00CB7F88"/>
    <w:rsid w:val="00CC02BC"/>
    <w:rsid w:val="00CC03B2"/>
    <w:rsid w:val="00CC0484"/>
    <w:rsid w:val="00CC0499"/>
    <w:rsid w:val="00CC0638"/>
    <w:rsid w:val="00CC0670"/>
    <w:rsid w:val="00CC0843"/>
    <w:rsid w:val="00CC08B3"/>
    <w:rsid w:val="00CC0A04"/>
    <w:rsid w:val="00CC0A08"/>
    <w:rsid w:val="00CC0BA7"/>
    <w:rsid w:val="00CC0CD7"/>
    <w:rsid w:val="00CC0E66"/>
    <w:rsid w:val="00CC0FB3"/>
    <w:rsid w:val="00CC10DA"/>
    <w:rsid w:val="00CC122D"/>
    <w:rsid w:val="00CC126D"/>
    <w:rsid w:val="00CC1326"/>
    <w:rsid w:val="00CC1481"/>
    <w:rsid w:val="00CC17E5"/>
    <w:rsid w:val="00CC1A6D"/>
    <w:rsid w:val="00CC1C19"/>
    <w:rsid w:val="00CC1E2A"/>
    <w:rsid w:val="00CC1E37"/>
    <w:rsid w:val="00CC1F37"/>
    <w:rsid w:val="00CC20EF"/>
    <w:rsid w:val="00CC21C9"/>
    <w:rsid w:val="00CC25BA"/>
    <w:rsid w:val="00CC25C9"/>
    <w:rsid w:val="00CC2659"/>
    <w:rsid w:val="00CC2696"/>
    <w:rsid w:val="00CC2800"/>
    <w:rsid w:val="00CC2B68"/>
    <w:rsid w:val="00CC2B83"/>
    <w:rsid w:val="00CC2EEB"/>
    <w:rsid w:val="00CC317B"/>
    <w:rsid w:val="00CC3502"/>
    <w:rsid w:val="00CC3585"/>
    <w:rsid w:val="00CC3678"/>
    <w:rsid w:val="00CC391E"/>
    <w:rsid w:val="00CC3CBC"/>
    <w:rsid w:val="00CC3EAF"/>
    <w:rsid w:val="00CC4013"/>
    <w:rsid w:val="00CC40E8"/>
    <w:rsid w:val="00CC4127"/>
    <w:rsid w:val="00CC414D"/>
    <w:rsid w:val="00CC432E"/>
    <w:rsid w:val="00CC469A"/>
    <w:rsid w:val="00CC4742"/>
    <w:rsid w:val="00CC47F3"/>
    <w:rsid w:val="00CC49C8"/>
    <w:rsid w:val="00CC4D0B"/>
    <w:rsid w:val="00CC4D2F"/>
    <w:rsid w:val="00CC4D7D"/>
    <w:rsid w:val="00CC4E6B"/>
    <w:rsid w:val="00CC4F44"/>
    <w:rsid w:val="00CC4F46"/>
    <w:rsid w:val="00CC4F81"/>
    <w:rsid w:val="00CC4FFE"/>
    <w:rsid w:val="00CC51E1"/>
    <w:rsid w:val="00CC5264"/>
    <w:rsid w:val="00CC53DD"/>
    <w:rsid w:val="00CC554E"/>
    <w:rsid w:val="00CC5854"/>
    <w:rsid w:val="00CC58B4"/>
    <w:rsid w:val="00CC58BF"/>
    <w:rsid w:val="00CC5944"/>
    <w:rsid w:val="00CC5B2F"/>
    <w:rsid w:val="00CC5D52"/>
    <w:rsid w:val="00CC5D70"/>
    <w:rsid w:val="00CC5D77"/>
    <w:rsid w:val="00CC5EE7"/>
    <w:rsid w:val="00CC6160"/>
    <w:rsid w:val="00CC63D3"/>
    <w:rsid w:val="00CC69F9"/>
    <w:rsid w:val="00CC6C28"/>
    <w:rsid w:val="00CC6D0E"/>
    <w:rsid w:val="00CC6D55"/>
    <w:rsid w:val="00CC70BF"/>
    <w:rsid w:val="00CC72B0"/>
    <w:rsid w:val="00CC72D5"/>
    <w:rsid w:val="00CC75BC"/>
    <w:rsid w:val="00CC7732"/>
    <w:rsid w:val="00CC787A"/>
    <w:rsid w:val="00CC7E38"/>
    <w:rsid w:val="00CD00E4"/>
    <w:rsid w:val="00CD0837"/>
    <w:rsid w:val="00CD08A8"/>
    <w:rsid w:val="00CD0B7F"/>
    <w:rsid w:val="00CD0CAA"/>
    <w:rsid w:val="00CD0F15"/>
    <w:rsid w:val="00CD1281"/>
    <w:rsid w:val="00CD1282"/>
    <w:rsid w:val="00CD12C5"/>
    <w:rsid w:val="00CD136E"/>
    <w:rsid w:val="00CD13F0"/>
    <w:rsid w:val="00CD1633"/>
    <w:rsid w:val="00CD16FD"/>
    <w:rsid w:val="00CD171F"/>
    <w:rsid w:val="00CD17CD"/>
    <w:rsid w:val="00CD19DF"/>
    <w:rsid w:val="00CD203A"/>
    <w:rsid w:val="00CD206B"/>
    <w:rsid w:val="00CD2070"/>
    <w:rsid w:val="00CD2157"/>
    <w:rsid w:val="00CD2330"/>
    <w:rsid w:val="00CD238A"/>
    <w:rsid w:val="00CD2453"/>
    <w:rsid w:val="00CD2492"/>
    <w:rsid w:val="00CD26BB"/>
    <w:rsid w:val="00CD26DE"/>
    <w:rsid w:val="00CD2832"/>
    <w:rsid w:val="00CD3108"/>
    <w:rsid w:val="00CD315B"/>
    <w:rsid w:val="00CD3161"/>
    <w:rsid w:val="00CD343D"/>
    <w:rsid w:val="00CD3659"/>
    <w:rsid w:val="00CD3685"/>
    <w:rsid w:val="00CD36A7"/>
    <w:rsid w:val="00CD3701"/>
    <w:rsid w:val="00CD37C5"/>
    <w:rsid w:val="00CD385F"/>
    <w:rsid w:val="00CD392E"/>
    <w:rsid w:val="00CD393C"/>
    <w:rsid w:val="00CD3B07"/>
    <w:rsid w:val="00CD3B63"/>
    <w:rsid w:val="00CD41AB"/>
    <w:rsid w:val="00CD41B3"/>
    <w:rsid w:val="00CD41F6"/>
    <w:rsid w:val="00CD4361"/>
    <w:rsid w:val="00CD43AF"/>
    <w:rsid w:val="00CD43C5"/>
    <w:rsid w:val="00CD44F9"/>
    <w:rsid w:val="00CD4766"/>
    <w:rsid w:val="00CD490A"/>
    <w:rsid w:val="00CD4CA5"/>
    <w:rsid w:val="00CD4E88"/>
    <w:rsid w:val="00CD4F63"/>
    <w:rsid w:val="00CD5015"/>
    <w:rsid w:val="00CD53F1"/>
    <w:rsid w:val="00CD5523"/>
    <w:rsid w:val="00CD5647"/>
    <w:rsid w:val="00CD5699"/>
    <w:rsid w:val="00CD5843"/>
    <w:rsid w:val="00CD5A85"/>
    <w:rsid w:val="00CD5C41"/>
    <w:rsid w:val="00CD5C79"/>
    <w:rsid w:val="00CD5C7D"/>
    <w:rsid w:val="00CD5ECD"/>
    <w:rsid w:val="00CD6341"/>
    <w:rsid w:val="00CD6359"/>
    <w:rsid w:val="00CD643E"/>
    <w:rsid w:val="00CD6875"/>
    <w:rsid w:val="00CD694D"/>
    <w:rsid w:val="00CD6A7F"/>
    <w:rsid w:val="00CD6DA4"/>
    <w:rsid w:val="00CD6DB0"/>
    <w:rsid w:val="00CD6E7A"/>
    <w:rsid w:val="00CD7017"/>
    <w:rsid w:val="00CD7137"/>
    <w:rsid w:val="00CD73D4"/>
    <w:rsid w:val="00CD74B6"/>
    <w:rsid w:val="00CD757C"/>
    <w:rsid w:val="00CD75FC"/>
    <w:rsid w:val="00CD76E5"/>
    <w:rsid w:val="00CD7AD8"/>
    <w:rsid w:val="00CD7B89"/>
    <w:rsid w:val="00CD7CE4"/>
    <w:rsid w:val="00CD7EC9"/>
    <w:rsid w:val="00CE01C2"/>
    <w:rsid w:val="00CE0252"/>
    <w:rsid w:val="00CE0286"/>
    <w:rsid w:val="00CE03D5"/>
    <w:rsid w:val="00CE03F5"/>
    <w:rsid w:val="00CE06A7"/>
    <w:rsid w:val="00CE06D3"/>
    <w:rsid w:val="00CE085F"/>
    <w:rsid w:val="00CE0B5C"/>
    <w:rsid w:val="00CE0BF0"/>
    <w:rsid w:val="00CE0CEB"/>
    <w:rsid w:val="00CE0E52"/>
    <w:rsid w:val="00CE12B9"/>
    <w:rsid w:val="00CE146C"/>
    <w:rsid w:val="00CE14E2"/>
    <w:rsid w:val="00CE18EE"/>
    <w:rsid w:val="00CE19DD"/>
    <w:rsid w:val="00CE1A60"/>
    <w:rsid w:val="00CE1E95"/>
    <w:rsid w:val="00CE230F"/>
    <w:rsid w:val="00CE237F"/>
    <w:rsid w:val="00CE252C"/>
    <w:rsid w:val="00CE2A51"/>
    <w:rsid w:val="00CE2B0A"/>
    <w:rsid w:val="00CE2B1F"/>
    <w:rsid w:val="00CE2B32"/>
    <w:rsid w:val="00CE2BC7"/>
    <w:rsid w:val="00CE2DBB"/>
    <w:rsid w:val="00CE2DE8"/>
    <w:rsid w:val="00CE2F4D"/>
    <w:rsid w:val="00CE2FDC"/>
    <w:rsid w:val="00CE30CF"/>
    <w:rsid w:val="00CE3130"/>
    <w:rsid w:val="00CE32BE"/>
    <w:rsid w:val="00CE33F0"/>
    <w:rsid w:val="00CE35F0"/>
    <w:rsid w:val="00CE3949"/>
    <w:rsid w:val="00CE399E"/>
    <w:rsid w:val="00CE3A8E"/>
    <w:rsid w:val="00CE3B3F"/>
    <w:rsid w:val="00CE3ECE"/>
    <w:rsid w:val="00CE3F34"/>
    <w:rsid w:val="00CE3F70"/>
    <w:rsid w:val="00CE4061"/>
    <w:rsid w:val="00CE4448"/>
    <w:rsid w:val="00CE4809"/>
    <w:rsid w:val="00CE485A"/>
    <w:rsid w:val="00CE49FF"/>
    <w:rsid w:val="00CE4BAA"/>
    <w:rsid w:val="00CE4C42"/>
    <w:rsid w:val="00CE4C7D"/>
    <w:rsid w:val="00CE4CD1"/>
    <w:rsid w:val="00CE4D34"/>
    <w:rsid w:val="00CE4D35"/>
    <w:rsid w:val="00CE517E"/>
    <w:rsid w:val="00CE5339"/>
    <w:rsid w:val="00CE581E"/>
    <w:rsid w:val="00CE5C63"/>
    <w:rsid w:val="00CE5D83"/>
    <w:rsid w:val="00CE5D93"/>
    <w:rsid w:val="00CE5E95"/>
    <w:rsid w:val="00CE5ED6"/>
    <w:rsid w:val="00CE5EFE"/>
    <w:rsid w:val="00CE641A"/>
    <w:rsid w:val="00CE6895"/>
    <w:rsid w:val="00CE69AA"/>
    <w:rsid w:val="00CE6AD9"/>
    <w:rsid w:val="00CE6D2C"/>
    <w:rsid w:val="00CE6DA8"/>
    <w:rsid w:val="00CE6E87"/>
    <w:rsid w:val="00CE6F9E"/>
    <w:rsid w:val="00CE6FD4"/>
    <w:rsid w:val="00CE7795"/>
    <w:rsid w:val="00CE78F1"/>
    <w:rsid w:val="00CE7900"/>
    <w:rsid w:val="00CE7C99"/>
    <w:rsid w:val="00CE7D60"/>
    <w:rsid w:val="00CE7D86"/>
    <w:rsid w:val="00CE7E09"/>
    <w:rsid w:val="00CF02C5"/>
    <w:rsid w:val="00CF0713"/>
    <w:rsid w:val="00CF0947"/>
    <w:rsid w:val="00CF09CF"/>
    <w:rsid w:val="00CF09DB"/>
    <w:rsid w:val="00CF0C14"/>
    <w:rsid w:val="00CF0D94"/>
    <w:rsid w:val="00CF0DD5"/>
    <w:rsid w:val="00CF0F3D"/>
    <w:rsid w:val="00CF111F"/>
    <w:rsid w:val="00CF134F"/>
    <w:rsid w:val="00CF13E2"/>
    <w:rsid w:val="00CF18E6"/>
    <w:rsid w:val="00CF18F2"/>
    <w:rsid w:val="00CF19AC"/>
    <w:rsid w:val="00CF1B78"/>
    <w:rsid w:val="00CF1C26"/>
    <w:rsid w:val="00CF1C55"/>
    <w:rsid w:val="00CF1E40"/>
    <w:rsid w:val="00CF1F90"/>
    <w:rsid w:val="00CF1FB3"/>
    <w:rsid w:val="00CF2455"/>
    <w:rsid w:val="00CF26E4"/>
    <w:rsid w:val="00CF27EB"/>
    <w:rsid w:val="00CF2A15"/>
    <w:rsid w:val="00CF2D51"/>
    <w:rsid w:val="00CF3093"/>
    <w:rsid w:val="00CF3A5B"/>
    <w:rsid w:val="00CF3AE2"/>
    <w:rsid w:val="00CF3B0C"/>
    <w:rsid w:val="00CF3E2F"/>
    <w:rsid w:val="00CF4578"/>
    <w:rsid w:val="00CF4682"/>
    <w:rsid w:val="00CF4683"/>
    <w:rsid w:val="00CF49CA"/>
    <w:rsid w:val="00CF4DB0"/>
    <w:rsid w:val="00CF4E52"/>
    <w:rsid w:val="00CF4EC3"/>
    <w:rsid w:val="00CF50C5"/>
    <w:rsid w:val="00CF52E6"/>
    <w:rsid w:val="00CF54FC"/>
    <w:rsid w:val="00CF5663"/>
    <w:rsid w:val="00CF5BDB"/>
    <w:rsid w:val="00CF5BF1"/>
    <w:rsid w:val="00CF5C20"/>
    <w:rsid w:val="00CF6122"/>
    <w:rsid w:val="00CF6502"/>
    <w:rsid w:val="00CF6689"/>
    <w:rsid w:val="00CF6802"/>
    <w:rsid w:val="00CF6936"/>
    <w:rsid w:val="00CF6A6D"/>
    <w:rsid w:val="00CF6B6D"/>
    <w:rsid w:val="00CF6E26"/>
    <w:rsid w:val="00CF7114"/>
    <w:rsid w:val="00CF77BA"/>
    <w:rsid w:val="00CF7BE2"/>
    <w:rsid w:val="00CF7EFB"/>
    <w:rsid w:val="00CF7F6E"/>
    <w:rsid w:val="00D00304"/>
    <w:rsid w:val="00D00707"/>
    <w:rsid w:val="00D007AA"/>
    <w:rsid w:val="00D00936"/>
    <w:rsid w:val="00D00A77"/>
    <w:rsid w:val="00D00B69"/>
    <w:rsid w:val="00D01250"/>
    <w:rsid w:val="00D018E6"/>
    <w:rsid w:val="00D0190E"/>
    <w:rsid w:val="00D01959"/>
    <w:rsid w:val="00D01A67"/>
    <w:rsid w:val="00D01AED"/>
    <w:rsid w:val="00D01B69"/>
    <w:rsid w:val="00D01BAA"/>
    <w:rsid w:val="00D01C90"/>
    <w:rsid w:val="00D01CBF"/>
    <w:rsid w:val="00D01D2F"/>
    <w:rsid w:val="00D01D6D"/>
    <w:rsid w:val="00D01D78"/>
    <w:rsid w:val="00D01D91"/>
    <w:rsid w:val="00D01DEA"/>
    <w:rsid w:val="00D01E7F"/>
    <w:rsid w:val="00D02135"/>
    <w:rsid w:val="00D02AE9"/>
    <w:rsid w:val="00D02BC5"/>
    <w:rsid w:val="00D02BD5"/>
    <w:rsid w:val="00D02D34"/>
    <w:rsid w:val="00D02D53"/>
    <w:rsid w:val="00D030CF"/>
    <w:rsid w:val="00D03337"/>
    <w:rsid w:val="00D034E7"/>
    <w:rsid w:val="00D036D1"/>
    <w:rsid w:val="00D036DA"/>
    <w:rsid w:val="00D037E5"/>
    <w:rsid w:val="00D038CF"/>
    <w:rsid w:val="00D03AFF"/>
    <w:rsid w:val="00D04023"/>
    <w:rsid w:val="00D04100"/>
    <w:rsid w:val="00D0419D"/>
    <w:rsid w:val="00D041AB"/>
    <w:rsid w:val="00D04407"/>
    <w:rsid w:val="00D04535"/>
    <w:rsid w:val="00D0477B"/>
    <w:rsid w:val="00D048B1"/>
    <w:rsid w:val="00D04A10"/>
    <w:rsid w:val="00D04A15"/>
    <w:rsid w:val="00D04E02"/>
    <w:rsid w:val="00D04ED9"/>
    <w:rsid w:val="00D051A3"/>
    <w:rsid w:val="00D052AC"/>
    <w:rsid w:val="00D05387"/>
    <w:rsid w:val="00D053D6"/>
    <w:rsid w:val="00D054D1"/>
    <w:rsid w:val="00D055E1"/>
    <w:rsid w:val="00D05619"/>
    <w:rsid w:val="00D05728"/>
    <w:rsid w:val="00D05A32"/>
    <w:rsid w:val="00D05A68"/>
    <w:rsid w:val="00D05AD3"/>
    <w:rsid w:val="00D05B71"/>
    <w:rsid w:val="00D05BB9"/>
    <w:rsid w:val="00D05C56"/>
    <w:rsid w:val="00D05EB7"/>
    <w:rsid w:val="00D062CB"/>
    <w:rsid w:val="00D06731"/>
    <w:rsid w:val="00D069C0"/>
    <w:rsid w:val="00D06C65"/>
    <w:rsid w:val="00D06C9C"/>
    <w:rsid w:val="00D06CC5"/>
    <w:rsid w:val="00D06F36"/>
    <w:rsid w:val="00D06FA7"/>
    <w:rsid w:val="00D06FC7"/>
    <w:rsid w:val="00D07048"/>
    <w:rsid w:val="00D0705E"/>
    <w:rsid w:val="00D071C5"/>
    <w:rsid w:val="00D072A8"/>
    <w:rsid w:val="00D072CC"/>
    <w:rsid w:val="00D0756A"/>
    <w:rsid w:val="00D07765"/>
    <w:rsid w:val="00D07774"/>
    <w:rsid w:val="00D07917"/>
    <w:rsid w:val="00D07D1E"/>
    <w:rsid w:val="00D07F56"/>
    <w:rsid w:val="00D104DF"/>
    <w:rsid w:val="00D1061F"/>
    <w:rsid w:val="00D1072F"/>
    <w:rsid w:val="00D1076F"/>
    <w:rsid w:val="00D1085D"/>
    <w:rsid w:val="00D109A1"/>
    <w:rsid w:val="00D10A8A"/>
    <w:rsid w:val="00D1102F"/>
    <w:rsid w:val="00D1109C"/>
    <w:rsid w:val="00D111E5"/>
    <w:rsid w:val="00D1151F"/>
    <w:rsid w:val="00D1167B"/>
    <w:rsid w:val="00D119E8"/>
    <w:rsid w:val="00D11BE6"/>
    <w:rsid w:val="00D11CD9"/>
    <w:rsid w:val="00D11DDB"/>
    <w:rsid w:val="00D1207B"/>
    <w:rsid w:val="00D1216C"/>
    <w:rsid w:val="00D121EF"/>
    <w:rsid w:val="00D123A3"/>
    <w:rsid w:val="00D127A0"/>
    <w:rsid w:val="00D1288A"/>
    <w:rsid w:val="00D12C83"/>
    <w:rsid w:val="00D12D2F"/>
    <w:rsid w:val="00D12DF7"/>
    <w:rsid w:val="00D12F4F"/>
    <w:rsid w:val="00D130B3"/>
    <w:rsid w:val="00D130E7"/>
    <w:rsid w:val="00D13180"/>
    <w:rsid w:val="00D1323B"/>
    <w:rsid w:val="00D132FA"/>
    <w:rsid w:val="00D13718"/>
    <w:rsid w:val="00D1376A"/>
    <w:rsid w:val="00D13916"/>
    <w:rsid w:val="00D13B85"/>
    <w:rsid w:val="00D13D44"/>
    <w:rsid w:val="00D1401B"/>
    <w:rsid w:val="00D141EC"/>
    <w:rsid w:val="00D14217"/>
    <w:rsid w:val="00D1441D"/>
    <w:rsid w:val="00D144CD"/>
    <w:rsid w:val="00D1458B"/>
    <w:rsid w:val="00D14B3C"/>
    <w:rsid w:val="00D14DC0"/>
    <w:rsid w:val="00D14E2D"/>
    <w:rsid w:val="00D14E3D"/>
    <w:rsid w:val="00D14FD3"/>
    <w:rsid w:val="00D152CD"/>
    <w:rsid w:val="00D1535A"/>
    <w:rsid w:val="00D1537E"/>
    <w:rsid w:val="00D15477"/>
    <w:rsid w:val="00D154C3"/>
    <w:rsid w:val="00D154D1"/>
    <w:rsid w:val="00D15949"/>
    <w:rsid w:val="00D15B67"/>
    <w:rsid w:val="00D15C49"/>
    <w:rsid w:val="00D15C6C"/>
    <w:rsid w:val="00D15E35"/>
    <w:rsid w:val="00D16073"/>
    <w:rsid w:val="00D1611E"/>
    <w:rsid w:val="00D16266"/>
    <w:rsid w:val="00D1637D"/>
    <w:rsid w:val="00D16388"/>
    <w:rsid w:val="00D164CA"/>
    <w:rsid w:val="00D167F4"/>
    <w:rsid w:val="00D1681C"/>
    <w:rsid w:val="00D16991"/>
    <w:rsid w:val="00D16AE3"/>
    <w:rsid w:val="00D16BAD"/>
    <w:rsid w:val="00D16F9E"/>
    <w:rsid w:val="00D16FD6"/>
    <w:rsid w:val="00D17095"/>
    <w:rsid w:val="00D170AF"/>
    <w:rsid w:val="00D1720D"/>
    <w:rsid w:val="00D17296"/>
    <w:rsid w:val="00D17356"/>
    <w:rsid w:val="00D173DA"/>
    <w:rsid w:val="00D17461"/>
    <w:rsid w:val="00D17595"/>
    <w:rsid w:val="00D175D2"/>
    <w:rsid w:val="00D17655"/>
    <w:rsid w:val="00D17F4E"/>
    <w:rsid w:val="00D20167"/>
    <w:rsid w:val="00D201E4"/>
    <w:rsid w:val="00D2043B"/>
    <w:rsid w:val="00D204FB"/>
    <w:rsid w:val="00D20520"/>
    <w:rsid w:val="00D209A8"/>
    <w:rsid w:val="00D20D11"/>
    <w:rsid w:val="00D20D41"/>
    <w:rsid w:val="00D2101B"/>
    <w:rsid w:val="00D213CA"/>
    <w:rsid w:val="00D21574"/>
    <w:rsid w:val="00D215CC"/>
    <w:rsid w:val="00D217F6"/>
    <w:rsid w:val="00D21A21"/>
    <w:rsid w:val="00D21AC7"/>
    <w:rsid w:val="00D21BFF"/>
    <w:rsid w:val="00D21F66"/>
    <w:rsid w:val="00D224FF"/>
    <w:rsid w:val="00D228F2"/>
    <w:rsid w:val="00D22C16"/>
    <w:rsid w:val="00D22CD3"/>
    <w:rsid w:val="00D22E02"/>
    <w:rsid w:val="00D23085"/>
    <w:rsid w:val="00D230A7"/>
    <w:rsid w:val="00D23151"/>
    <w:rsid w:val="00D231BD"/>
    <w:rsid w:val="00D23401"/>
    <w:rsid w:val="00D2345C"/>
    <w:rsid w:val="00D23692"/>
    <w:rsid w:val="00D2379E"/>
    <w:rsid w:val="00D237CF"/>
    <w:rsid w:val="00D239AF"/>
    <w:rsid w:val="00D23BA7"/>
    <w:rsid w:val="00D23D08"/>
    <w:rsid w:val="00D23E40"/>
    <w:rsid w:val="00D23E43"/>
    <w:rsid w:val="00D23EED"/>
    <w:rsid w:val="00D23F15"/>
    <w:rsid w:val="00D241EC"/>
    <w:rsid w:val="00D24362"/>
    <w:rsid w:val="00D2437D"/>
    <w:rsid w:val="00D24582"/>
    <w:rsid w:val="00D2466F"/>
    <w:rsid w:val="00D2481B"/>
    <w:rsid w:val="00D24C27"/>
    <w:rsid w:val="00D24D48"/>
    <w:rsid w:val="00D24D5E"/>
    <w:rsid w:val="00D24EC4"/>
    <w:rsid w:val="00D24F34"/>
    <w:rsid w:val="00D25042"/>
    <w:rsid w:val="00D25280"/>
    <w:rsid w:val="00D25AD4"/>
    <w:rsid w:val="00D25DF1"/>
    <w:rsid w:val="00D25F5E"/>
    <w:rsid w:val="00D25FEA"/>
    <w:rsid w:val="00D26037"/>
    <w:rsid w:val="00D260C0"/>
    <w:rsid w:val="00D265A3"/>
    <w:rsid w:val="00D26899"/>
    <w:rsid w:val="00D268A4"/>
    <w:rsid w:val="00D26AFF"/>
    <w:rsid w:val="00D26B68"/>
    <w:rsid w:val="00D26C8A"/>
    <w:rsid w:val="00D26DD2"/>
    <w:rsid w:val="00D26E3F"/>
    <w:rsid w:val="00D26FC4"/>
    <w:rsid w:val="00D27032"/>
    <w:rsid w:val="00D272F7"/>
    <w:rsid w:val="00D273B4"/>
    <w:rsid w:val="00D27598"/>
    <w:rsid w:val="00D276F7"/>
    <w:rsid w:val="00D27928"/>
    <w:rsid w:val="00D27AFE"/>
    <w:rsid w:val="00D27B28"/>
    <w:rsid w:val="00D27D4F"/>
    <w:rsid w:val="00D27D70"/>
    <w:rsid w:val="00D27D8A"/>
    <w:rsid w:val="00D27DAD"/>
    <w:rsid w:val="00D27F71"/>
    <w:rsid w:val="00D301C2"/>
    <w:rsid w:val="00D30414"/>
    <w:rsid w:val="00D30565"/>
    <w:rsid w:val="00D3061E"/>
    <w:rsid w:val="00D30705"/>
    <w:rsid w:val="00D3087A"/>
    <w:rsid w:val="00D30A58"/>
    <w:rsid w:val="00D30A71"/>
    <w:rsid w:val="00D30FD0"/>
    <w:rsid w:val="00D31057"/>
    <w:rsid w:val="00D310AC"/>
    <w:rsid w:val="00D31142"/>
    <w:rsid w:val="00D31258"/>
    <w:rsid w:val="00D312FF"/>
    <w:rsid w:val="00D313E4"/>
    <w:rsid w:val="00D314E3"/>
    <w:rsid w:val="00D31AE1"/>
    <w:rsid w:val="00D31B14"/>
    <w:rsid w:val="00D31C3B"/>
    <w:rsid w:val="00D31C8C"/>
    <w:rsid w:val="00D31D70"/>
    <w:rsid w:val="00D32422"/>
    <w:rsid w:val="00D32440"/>
    <w:rsid w:val="00D3258A"/>
    <w:rsid w:val="00D32721"/>
    <w:rsid w:val="00D328E6"/>
    <w:rsid w:val="00D328ED"/>
    <w:rsid w:val="00D32918"/>
    <w:rsid w:val="00D32D3E"/>
    <w:rsid w:val="00D32D60"/>
    <w:rsid w:val="00D32EAE"/>
    <w:rsid w:val="00D33018"/>
    <w:rsid w:val="00D33251"/>
    <w:rsid w:val="00D33315"/>
    <w:rsid w:val="00D3340A"/>
    <w:rsid w:val="00D33536"/>
    <w:rsid w:val="00D3362E"/>
    <w:rsid w:val="00D336B4"/>
    <w:rsid w:val="00D336C6"/>
    <w:rsid w:val="00D337D3"/>
    <w:rsid w:val="00D338CA"/>
    <w:rsid w:val="00D33AD3"/>
    <w:rsid w:val="00D33B41"/>
    <w:rsid w:val="00D33BB8"/>
    <w:rsid w:val="00D33D14"/>
    <w:rsid w:val="00D33F1E"/>
    <w:rsid w:val="00D34196"/>
    <w:rsid w:val="00D343F5"/>
    <w:rsid w:val="00D344A9"/>
    <w:rsid w:val="00D34574"/>
    <w:rsid w:val="00D345C8"/>
    <w:rsid w:val="00D34848"/>
    <w:rsid w:val="00D3491A"/>
    <w:rsid w:val="00D3497D"/>
    <w:rsid w:val="00D34A0B"/>
    <w:rsid w:val="00D34B3C"/>
    <w:rsid w:val="00D34E13"/>
    <w:rsid w:val="00D34FD0"/>
    <w:rsid w:val="00D35123"/>
    <w:rsid w:val="00D35126"/>
    <w:rsid w:val="00D352C4"/>
    <w:rsid w:val="00D35612"/>
    <w:rsid w:val="00D358E2"/>
    <w:rsid w:val="00D35BED"/>
    <w:rsid w:val="00D35CC2"/>
    <w:rsid w:val="00D35D80"/>
    <w:rsid w:val="00D35E70"/>
    <w:rsid w:val="00D36317"/>
    <w:rsid w:val="00D3632C"/>
    <w:rsid w:val="00D363EC"/>
    <w:rsid w:val="00D365EE"/>
    <w:rsid w:val="00D366AA"/>
    <w:rsid w:val="00D36976"/>
    <w:rsid w:val="00D3697B"/>
    <w:rsid w:val="00D36A28"/>
    <w:rsid w:val="00D36C92"/>
    <w:rsid w:val="00D37025"/>
    <w:rsid w:val="00D37125"/>
    <w:rsid w:val="00D371E5"/>
    <w:rsid w:val="00D37347"/>
    <w:rsid w:val="00D3777D"/>
    <w:rsid w:val="00D3778C"/>
    <w:rsid w:val="00D37ABA"/>
    <w:rsid w:val="00D37BBC"/>
    <w:rsid w:val="00D37C6E"/>
    <w:rsid w:val="00D37E81"/>
    <w:rsid w:val="00D40040"/>
    <w:rsid w:val="00D4039D"/>
    <w:rsid w:val="00D403F6"/>
    <w:rsid w:val="00D40487"/>
    <w:rsid w:val="00D4066C"/>
    <w:rsid w:val="00D40674"/>
    <w:rsid w:val="00D40B28"/>
    <w:rsid w:val="00D40C09"/>
    <w:rsid w:val="00D40C14"/>
    <w:rsid w:val="00D40F11"/>
    <w:rsid w:val="00D40FF8"/>
    <w:rsid w:val="00D41288"/>
    <w:rsid w:val="00D414E8"/>
    <w:rsid w:val="00D415A3"/>
    <w:rsid w:val="00D41ACA"/>
    <w:rsid w:val="00D41B92"/>
    <w:rsid w:val="00D41B98"/>
    <w:rsid w:val="00D420E2"/>
    <w:rsid w:val="00D4213A"/>
    <w:rsid w:val="00D422F4"/>
    <w:rsid w:val="00D42341"/>
    <w:rsid w:val="00D423A4"/>
    <w:rsid w:val="00D4247D"/>
    <w:rsid w:val="00D42596"/>
    <w:rsid w:val="00D4260F"/>
    <w:rsid w:val="00D4278A"/>
    <w:rsid w:val="00D427CA"/>
    <w:rsid w:val="00D4284B"/>
    <w:rsid w:val="00D42904"/>
    <w:rsid w:val="00D42B05"/>
    <w:rsid w:val="00D42B2B"/>
    <w:rsid w:val="00D42B6D"/>
    <w:rsid w:val="00D42C0C"/>
    <w:rsid w:val="00D42CA5"/>
    <w:rsid w:val="00D42D2F"/>
    <w:rsid w:val="00D43219"/>
    <w:rsid w:val="00D43382"/>
    <w:rsid w:val="00D433F0"/>
    <w:rsid w:val="00D43400"/>
    <w:rsid w:val="00D434FA"/>
    <w:rsid w:val="00D435B1"/>
    <w:rsid w:val="00D43883"/>
    <w:rsid w:val="00D43A41"/>
    <w:rsid w:val="00D43AA2"/>
    <w:rsid w:val="00D43BDB"/>
    <w:rsid w:val="00D43BDF"/>
    <w:rsid w:val="00D43D1D"/>
    <w:rsid w:val="00D43D20"/>
    <w:rsid w:val="00D44411"/>
    <w:rsid w:val="00D4450F"/>
    <w:rsid w:val="00D44788"/>
    <w:rsid w:val="00D44A85"/>
    <w:rsid w:val="00D44D06"/>
    <w:rsid w:val="00D44D27"/>
    <w:rsid w:val="00D45126"/>
    <w:rsid w:val="00D45368"/>
    <w:rsid w:val="00D45499"/>
    <w:rsid w:val="00D456CF"/>
    <w:rsid w:val="00D45D6C"/>
    <w:rsid w:val="00D46100"/>
    <w:rsid w:val="00D468F3"/>
    <w:rsid w:val="00D46E78"/>
    <w:rsid w:val="00D470D6"/>
    <w:rsid w:val="00D470FB"/>
    <w:rsid w:val="00D47311"/>
    <w:rsid w:val="00D47588"/>
    <w:rsid w:val="00D475AF"/>
    <w:rsid w:val="00D477E3"/>
    <w:rsid w:val="00D478DD"/>
    <w:rsid w:val="00D47A46"/>
    <w:rsid w:val="00D501B6"/>
    <w:rsid w:val="00D504A5"/>
    <w:rsid w:val="00D506B8"/>
    <w:rsid w:val="00D50830"/>
    <w:rsid w:val="00D50A0B"/>
    <w:rsid w:val="00D50A1C"/>
    <w:rsid w:val="00D50F9D"/>
    <w:rsid w:val="00D51021"/>
    <w:rsid w:val="00D51685"/>
    <w:rsid w:val="00D51746"/>
    <w:rsid w:val="00D51B16"/>
    <w:rsid w:val="00D51C1F"/>
    <w:rsid w:val="00D51C44"/>
    <w:rsid w:val="00D51EEE"/>
    <w:rsid w:val="00D520FA"/>
    <w:rsid w:val="00D52142"/>
    <w:rsid w:val="00D52394"/>
    <w:rsid w:val="00D523BF"/>
    <w:rsid w:val="00D52557"/>
    <w:rsid w:val="00D525EB"/>
    <w:rsid w:val="00D525F5"/>
    <w:rsid w:val="00D526C5"/>
    <w:rsid w:val="00D52929"/>
    <w:rsid w:val="00D52A2C"/>
    <w:rsid w:val="00D52ECD"/>
    <w:rsid w:val="00D53377"/>
    <w:rsid w:val="00D536A7"/>
    <w:rsid w:val="00D5379B"/>
    <w:rsid w:val="00D538AD"/>
    <w:rsid w:val="00D53958"/>
    <w:rsid w:val="00D53A35"/>
    <w:rsid w:val="00D53B47"/>
    <w:rsid w:val="00D53C9F"/>
    <w:rsid w:val="00D53EFC"/>
    <w:rsid w:val="00D53F17"/>
    <w:rsid w:val="00D54210"/>
    <w:rsid w:val="00D542BE"/>
    <w:rsid w:val="00D5437E"/>
    <w:rsid w:val="00D5471A"/>
    <w:rsid w:val="00D54757"/>
    <w:rsid w:val="00D5480B"/>
    <w:rsid w:val="00D54865"/>
    <w:rsid w:val="00D54961"/>
    <w:rsid w:val="00D54E78"/>
    <w:rsid w:val="00D54F6B"/>
    <w:rsid w:val="00D55081"/>
    <w:rsid w:val="00D55101"/>
    <w:rsid w:val="00D5525B"/>
    <w:rsid w:val="00D552DE"/>
    <w:rsid w:val="00D5534D"/>
    <w:rsid w:val="00D55454"/>
    <w:rsid w:val="00D554D7"/>
    <w:rsid w:val="00D554E1"/>
    <w:rsid w:val="00D554F3"/>
    <w:rsid w:val="00D55629"/>
    <w:rsid w:val="00D5578C"/>
    <w:rsid w:val="00D55838"/>
    <w:rsid w:val="00D558CB"/>
    <w:rsid w:val="00D55B6E"/>
    <w:rsid w:val="00D55D31"/>
    <w:rsid w:val="00D55D8B"/>
    <w:rsid w:val="00D55F34"/>
    <w:rsid w:val="00D55FE3"/>
    <w:rsid w:val="00D56498"/>
    <w:rsid w:val="00D5659A"/>
    <w:rsid w:val="00D5667A"/>
    <w:rsid w:val="00D567D0"/>
    <w:rsid w:val="00D569A6"/>
    <w:rsid w:val="00D56AAB"/>
    <w:rsid w:val="00D56DFF"/>
    <w:rsid w:val="00D56F93"/>
    <w:rsid w:val="00D56FCA"/>
    <w:rsid w:val="00D56FCC"/>
    <w:rsid w:val="00D56FDF"/>
    <w:rsid w:val="00D57100"/>
    <w:rsid w:val="00D5712C"/>
    <w:rsid w:val="00D571ED"/>
    <w:rsid w:val="00D572FF"/>
    <w:rsid w:val="00D573BF"/>
    <w:rsid w:val="00D573C7"/>
    <w:rsid w:val="00D57445"/>
    <w:rsid w:val="00D575E6"/>
    <w:rsid w:val="00D5766D"/>
    <w:rsid w:val="00D5781C"/>
    <w:rsid w:val="00D57934"/>
    <w:rsid w:val="00D57AD8"/>
    <w:rsid w:val="00D57B27"/>
    <w:rsid w:val="00D57D56"/>
    <w:rsid w:val="00D57DA3"/>
    <w:rsid w:val="00D57F60"/>
    <w:rsid w:val="00D601D7"/>
    <w:rsid w:val="00D601FB"/>
    <w:rsid w:val="00D60440"/>
    <w:rsid w:val="00D604C4"/>
    <w:rsid w:val="00D60559"/>
    <w:rsid w:val="00D60751"/>
    <w:rsid w:val="00D6095F"/>
    <w:rsid w:val="00D60A6D"/>
    <w:rsid w:val="00D60A90"/>
    <w:rsid w:val="00D60BD7"/>
    <w:rsid w:val="00D60C15"/>
    <w:rsid w:val="00D60D60"/>
    <w:rsid w:val="00D60DCA"/>
    <w:rsid w:val="00D60E96"/>
    <w:rsid w:val="00D60FAE"/>
    <w:rsid w:val="00D611D4"/>
    <w:rsid w:val="00D6138F"/>
    <w:rsid w:val="00D61863"/>
    <w:rsid w:val="00D61946"/>
    <w:rsid w:val="00D61B8C"/>
    <w:rsid w:val="00D61B98"/>
    <w:rsid w:val="00D61BBA"/>
    <w:rsid w:val="00D61C24"/>
    <w:rsid w:val="00D61E5B"/>
    <w:rsid w:val="00D62061"/>
    <w:rsid w:val="00D62454"/>
    <w:rsid w:val="00D62D1C"/>
    <w:rsid w:val="00D62DA5"/>
    <w:rsid w:val="00D62FD9"/>
    <w:rsid w:val="00D63016"/>
    <w:rsid w:val="00D63020"/>
    <w:rsid w:val="00D63064"/>
    <w:rsid w:val="00D63105"/>
    <w:rsid w:val="00D63153"/>
    <w:rsid w:val="00D6341B"/>
    <w:rsid w:val="00D63475"/>
    <w:rsid w:val="00D63491"/>
    <w:rsid w:val="00D63695"/>
    <w:rsid w:val="00D63850"/>
    <w:rsid w:val="00D63AA9"/>
    <w:rsid w:val="00D63F65"/>
    <w:rsid w:val="00D6400E"/>
    <w:rsid w:val="00D64074"/>
    <w:rsid w:val="00D641C2"/>
    <w:rsid w:val="00D64604"/>
    <w:rsid w:val="00D6460C"/>
    <w:rsid w:val="00D647BE"/>
    <w:rsid w:val="00D648F5"/>
    <w:rsid w:val="00D64D23"/>
    <w:rsid w:val="00D64D3A"/>
    <w:rsid w:val="00D64D8B"/>
    <w:rsid w:val="00D65019"/>
    <w:rsid w:val="00D651C5"/>
    <w:rsid w:val="00D651E0"/>
    <w:rsid w:val="00D653EE"/>
    <w:rsid w:val="00D65510"/>
    <w:rsid w:val="00D656B6"/>
    <w:rsid w:val="00D658D9"/>
    <w:rsid w:val="00D65AB7"/>
    <w:rsid w:val="00D65B7D"/>
    <w:rsid w:val="00D65BFF"/>
    <w:rsid w:val="00D65D01"/>
    <w:rsid w:val="00D65D72"/>
    <w:rsid w:val="00D66298"/>
    <w:rsid w:val="00D66639"/>
    <w:rsid w:val="00D666AA"/>
    <w:rsid w:val="00D66B04"/>
    <w:rsid w:val="00D66C33"/>
    <w:rsid w:val="00D6746C"/>
    <w:rsid w:val="00D67794"/>
    <w:rsid w:val="00D679BB"/>
    <w:rsid w:val="00D67D6F"/>
    <w:rsid w:val="00D67D7F"/>
    <w:rsid w:val="00D67E78"/>
    <w:rsid w:val="00D67E98"/>
    <w:rsid w:val="00D67F21"/>
    <w:rsid w:val="00D70027"/>
    <w:rsid w:val="00D70041"/>
    <w:rsid w:val="00D700AC"/>
    <w:rsid w:val="00D701F9"/>
    <w:rsid w:val="00D702E7"/>
    <w:rsid w:val="00D704D2"/>
    <w:rsid w:val="00D706DB"/>
    <w:rsid w:val="00D70788"/>
    <w:rsid w:val="00D708B5"/>
    <w:rsid w:val="00D70AFC"/>
    <w:rsid w:val="00D70B86"/>
    <w:rsid w:val="00D70D30"/>
    <w:rsid w:val="00D70DE2"/>
    <w:rsid w:val="00D70F7A"/>
    <w:rsid w:val="00D7149F"/>
    <w:rsid w:val="00D7151C"/>
    <w:rsid w:val="00D71612"/>
    <w:rsid w:val="00D71A9B"/>
    <w:rsid w:val="00D71BEC"/>
    <w:rsid w:val="00D71E6E"/>
    <w:rsid w:val="00D720FF"/>
    <w:rsid w:val="00D72338"/>
    <w:rsid w:val="00D7239C"/>
    <w:rsid w:val="00D72400"/>
    <w:rsid w:val="00D72537"/>
    <w:rsid w:val="00D726BB"/>
    <w:rsid w:val="00D72AFD"/>
    <w:rsid w:val="00D72CB6"/>
    <w:rsid w:val="00D732BA"/>
    <w:rsid w:val="00D732ED"/>
    <w:rsid w:val="00D73393"/>
    <w:rsid w:val="00D734F9"/>
    <w:rsid w:val="00D736ED"/>
    <w:rsid w:val="00D737E8"/>
    <w:rsid w:val="00D73E12"/>
    <w:rsid w:val="00D73E95"/>
    <w:rsid w:val="00D7402A"/>
    <w:rsid w:val="00D74087"/>
    <w:rsid w:val="00D7412D"/>
    <w:rsid w:val="00D74170"/>
    <w:rsid w:val="00D74178"/>
    <w:rsid w:val="00D743A7"/>
    <w:rsid w:val="00D7468D"/>
    <w:rsid w:val="00D746AA"/>
    <w:rsid w:val="00D74949"/>
    <w:rsid w:val="00D74960"/>
    <w:rsid w:val="00D74E99"/>
    <w:rsid w:val="00D753C7"/>
    <w:rsid w:val="00D759A4"/>
    <w:rsid w:val="00D75D0A"/>
    <w:rsid w:val="00D75E1A"/>
    <w:rsid w:val="00D75FCF"/>
    <w:rsid w:val="00D762B5"/>
    <w:rsid w:val="00D762D3"/>
    <w:rsid w:val="00D7646C"/>
    <w:rsid w:val="00D76556"/>
    <w:rsid w:val="00D76630"/>
    <w:rsid w:val="00D7670C"/>
    <w:rsid w:val="00D768F9"/>
    <w:rsid w:val="00D76AE3"/>
    <w:rsid w:val="00D76BF5"/>
    <w:rsid w:val="00D76CD5"/>
    <w:rsid w:val="00D76F62"/>
    <w:rsid w:val="00D77069"/>
    <w:rsid w:val="00D771DB"/>
    <w:rsid w:val="00D7778A"/>
    <w:rsid w:val="00D77893"/>
    <w:rsid w:val="00D778BD"/>
    <w:rsid w:val="00D77972"/>
    <w:rsid w:val="00D77A42"/>
    <w:rsid w:val="00D77AB3"/>
    <w:rsid w:val="00D77AF6"/>
    <w:rsid w:val="00D77C8F"/>
    <w:rsid w:val="00D77CA1"/>
    <w:rsid w:val="00D77CB6"/>
    <w:rsid w:val="00D77CB8"/>
    <w:rsid w:val="00D77CBB"/>
    <w:rsid w:val="00D77D84"/>
    <w:rsid w:val="00D77EBA"/>
    <w:rsid w:val="00D77FCC"/>
    <w:rsid w:val="00D80034"/>
    <w:rsid w:val="00D80177"/>
    <w:rsid w:val="00D8073F"/>
    <w:rsid w:val="00D80893"/>
    <w:rsid w:val="00D80898"/>
    <w:rsid w:val="00D80916"/>
    <w:rsid w:val="00D81046"/>
    <w:rsid w:val="00D810BF"/>
    <w:rsid w:val="00D81186"/>
    <w:rsid w:val="00D811E9"/>
    <w:rsid w:val="00D81439"/>
    <w:rsid w:val="00D815FD"/>
    <w:rsid w:val="00D8160A"/>
    <w:rsid w:val="00D819B2"/>
    <w:rsid w:val="00D81A4E"/>
    <w:rsid w:val="00D81A6F"/>
    <w:rsid w:val="00D81AC3"/>
    <w:rsid w:val="00D82349"/>
    <w:rsid w:val="00D82418"/>
    <w:rsid w:val="00D824BF"/>
    <w:rsid w:val="00D827DC"/>
    <w:rsid w:val="00D82A52"/>
    <w:rsid w:val="00D82AC0"/>
    <w:rsid w:val="00D82C96"/>
    <w:rsid w:val="00D82EC0"/>
    <w:rsid w:val="00D831A6"/>
    <w:rsid w:val="00D83301"/>
    <w:rsid w:val="00D833CE"/>
    <w:rsid w:val="00D83489"/>
    <w:rsid w:val="00D835A9"/>
    <w:rsid w:val="00D8389B"/>
    <w:rsid w:val="00D8396A"/>
    <w:rsid w:val="00D83FB9"/>
    <w:rsid w:val="00D84102"/>
    <w:rsid w:val="00D841FE"/>
    <w:rsid w:val="00D8423F"/>
    <w:rsid w:val="00D8435B"/>
    <w:rsid w:val="00D845AE"/>
    <w:rsid w:val="00D848CA"/>
    <w:rsid w:val="00D848F4"/>
    <w:rsid w:val="00D84C4C"/>
    <w:rsid w:val="00D8523B"/>
    <w:rsid w:val="00D8536C"/>
    <w:rsid w:val="00D8565E"/>
    <w:rsid w:val="00D85732"/>
    <w:rsid w:val="00D85756"/>
    <w:rsid w:val="00D85950"/>
    <w:rsid w:val="00D85AFC"/>
    <w:rsid w:val="00D85E9F"/>
    <w:rsid w:val="00D85EED"/>
    <w:rsid w:val="00D86176"/>
    <w:rsid w:val="00D86306"/>
    <w:rsid w:val="00D8670F"/>
    <w:rsid w:val="00D8673D"/>
    <w:rsid w:val="00D8695F"/>
    <w:rsid w:val="00D86975"/>
    <w:rsid w:val="00D86A68"/>
    <w:rsid w:val="00D86D9D"/>
    <w:rsid w:val="00D86D9E"/>
    <w:rsid w:val="00D86EAF"/>
    <w:rsid w:val="00D86FF8"/>
    <w:rsid w:val="00D872D3"/>
    <w:rsid w:val="00D874F7"/>
    <w:rsid w:val="00D87715"/>
    <w:rsid w:val="00D87DFA"/>
    <w:rsid w:val="00D87EB7"/>
    <w:rsid w:val="00D87F1E"/>
    <w:rsid w:val="00D87FAA"/>
    <w:rsid w:val="00D90006"/>
    <w:rsid w:val="00D9028F"/>
    <w:rsid w:val="00D908B0"/>
    <w:rsid w:val="00D90D85"/>
    <w:rsid w:val="00D90F15"/>
    <w:rsid w:val="00D9103D"/>
    <w:rsid w:val="00D9132A"/>
    <w:rsid w:val="00D9165D"/>
    <w:rsid w:val="00D91732"/>
    <w:rsid w:val="00D91744"/>
    <w:rsid w:val="00D91785"/>
    <w:rsid w:val="00D91794"/>
    <w:rsid w:val="00D918D7"/>
    <w:rsid w:val="00D91A53"/>
    <w:rsid w:val="00D91D28"/>
    <w:rsid w:val="00D91E0B"/>
    <w:rsid w:val="00D91ECB"/>
    <w:rsid w:val="00D91FED"/>
    <w:rsid w:val="00D921E7"/>
    <w:rsid w:val="00D9233B"/>
    <w:rsid w:val="00D9233D"/>
    <w:rsid w:val="00D9234E"/>
    <w:rsid w:val="00D9237C"/>
    <w:rsid w:val="00D926C9"/>
    <w:rsid w:val="00D92741"/>
    <w:rsid w:val="00D9298A"/>
    <w:rsid w:val="00D92AAC"/>
    <w:rsid w:val="00D92CB2"/>
    <w:rsid w:val="00D92DEB"/>
    <w:rsid w:val="00D92E99"/>
    <w:rsid w:val="00D92F3D"/>
    <w:rsid w:val="00D93152"/>
    <w:rsid w:val="00D93353"/>
    <w:rsid w:val="00D93386"/>
    <w:rsid w:val="00D93834"/>
    <w:rsid w:val="00D938F2"/>
    <w:rsid w:val="00D93A46"/>
    <w:rsid w:val="00D93A8B"/>
    <w:rsid w:val="00D93D4C"/>
    <w:rsid w:val="00D93DD2"/>
    <w:rsid w:val="00D93F8B"/>
    <w:rsid w:val="00D93F96"/>
    <w:rsid w:val="00D940FE"/>
    <w:rsid w:val="00D9427E"/>
    <w:rsid w:val="00D942C5"/>
    <w:rsid w:val="00D9436D"/>
    <w:rsid w:val="00D94473"/>
    <w:rsid w:val="00D94781"/>
    <w:rsid w:val="00D9498D"/>
    <w:rsid w:val="00D94A37"/>
    <w:rsid w:val="00D94CDB"/>
    <w:rsid w:val="00D94DCE"/>
    <w:rsid w:val="00D94E30"/>
    <w:rsid w:val="00D94E33"/>
    <w:rsid w:val="00D95022"/>
    <w:rsid w:val="00D95093"/>
    <w:rsid w:val="00D95192"/>
    <w:rsid w:val="00D952B6"/>
    <w:rsid w:val="00D95558"/>
    <w:rsid w:val="00D95721"/>
    <w:rsid w:val="00D9572A"/>
    <w:rsid w:val="00D9578F"/>
    <w:rsid w:val="00D957B2"/>
    <w:rsid w:val="00D958CB"/>
    <w:rsid w:val="00D9599D"/>
    <w:rsid w:val="00D95B40"/>
    <w:rsid w:val="00D95BDB"/>
    <w:rsid w:val="00D95C62"/>
    <w:rsid w:val="00D95E75"/>
    <w:rsid w:val="00D9606A"/>
    <w:rsid w:val="00D96248"/>
    <w:rsid w:val="00D96289"/>
    <w:rsid w:val="00D9642E"/>
    <w:rsid w:val="00D96746"/>
    <w:rsid w:val="00D96B73"/>
    <w:rsid w:val="00D96BC5"/>
    <w:rsid w:val="00D96CA4"/>
    <w:rsid w:val="00D96D20"/>
    <w:rsid w:val="00D96F8B"/>
    <w:rsid w:val="00D97133"/>
    <w:rsid w:val="00D971D5"/>
    <w:rsid w:val="00D9726C"/>
    <w:rsid w:val="00D972A0"/>
    <w:rsid w:val="00D97412"/>
    <w:rsid w:val="00D976C5"/>
    <w:rsid w:val="00D976E5"/>
    <w:rsid w:val="00D97F31"/>
    <w:rsid w:val="00D97FB5"/>
    <w:rsid w:val="00D97FBD"/>
    <w:rsid w:val="00D97FD7"/>
    <w:rsid w:val="00DA012B"/>
    <w:rsid w:val="00DA026B"/>
    <w:rsid w:val="00DA05D2"/>
    <w:rsid w:val="00DA0720"/>
    <w:rsid w:val="00DA08F5"/>
    <w:rsid w:val="00DA0968"/>
    <w:rsid w:val="00DA09B0"/>
    <w:rsid w:val="00DA09C5"/>
    <w:rsid w:val="00DA0AB1"/>
    <w:rsid w:val="00DA0C0F"/>
    <w:rsid w:val="00DA0C23"/>
    <w:rsid w:val="00DA0C51"/>
    <w:rsid w:val="00DA0CAE"/>
    <w:rsid w:val="00DA0E65"/>
    <w:rsid w:val="00DA0F39"/>
    <w:rsid w:val="00DA114A"/>
    <w:rsid w:val="00DA1224"/>
    <w:rsid w:val="00DA12B6"/>
    <w:rsid w:val="00DA14BA"/>
    <w:rsid w:val="00DA1729"/>
    <w:rsid w:val="00DA1744"/>
    <w:rsid w:val="00DA1828"/>
    <w:rsid w:val="00DA189E"/>
    <w:rsid w:val="00DA18DA"/>
    <w:rsid w:val="00DA192D"/>
    <w:rsid w:val="00DA1D6D"/>
    <w:rsid w:val="00DA1D7E"/>
    <w:rsid w:val="00DA1DBA"/>
    <w:rsid w:val="00DA1E41"/>
    <w:rsid w:val="00DA1F03"/>
    <w:rsid w:val="00DA1FEC"/>
    <w:rsid w:val="00DA20B9"/>
    <w:rsid w:val="00DA23AD"/>
    <w:rsid w:val="00DA258E"/>
    <w:rsid w:val="00DA26B7"/>
    <w:rsid w:val="00DA2931"/>
    <w:rsid w:val="00DA2BCD"/>
    <w:rsid w:val="00DA2FD7"/>
    <w:rsid w:val="00DA34B5"/>
    <w:rsid w:val="00DA36D2"/>
    <w:rsid w:val="00DA3B11"/>
    <w:rsid w:val="00DA3CB0"/>
    <w:rsid w:val="00DA4047"/>
    <w:rsid w:val="00DA4049"/>
    <w:rsid w:val="00DA4238"/>
    <w:rsid w:val="00DA4741"/>
    <w:rsid w:val="00DA498E"/>
    <w:rsid w:val="00DA49FC"/>
    <w:rsid w:val="00DA4CEF"/>
    <w:rsid w:val="00DA4E2D"/>
    <w:rsid w:val="00DA4EDE"/>
    <w:rsid w:val="00DA4FB1"/>
    <w:rsid w:val="00DA4FB2"/>
    <w:rsid w:val="00DA50BE"/>
    <w:rsid w:val="00DA5180"/>
    <w:rsid w:val="00DA536B"/>
    <w:rsid w:val="00DA53F8"/>
    <w:rsid w:val="00DA5795"/>
    <w:rsid w:val="00DA57DC"/>
    <w:rsid w:val="00DA5D3E"/>
    <w:rsid w:val="00DA6115"/>
    <w:rsid w:val="00DA61CE"/>
    <w:rsid w:val="00DA626D"/>
    <w:rsid w:val="00DA64FE"/>
    <w:rsid w:val="00DA668C"/>
    <w:rsid w:val="00DA66A5"/>
    <w:rsid w:val="00DA6AB7"/>
    <w:rsid w:val="00DA6B31"/>
    <w:rsid w:val="00DA6C82"/>
    <w:rsid w:val="00DA6D5D"/>
    <w:rsid w:val="00DA6FFA"/>
    <w:rsid w:val="00DA70BA"/>
    <w:rsid w:val="00DA73E5"/>
    <w:rsid w:val="00DA7483"/>
    <w:rsid w:val="00DA74A8"/>
    <w:rsid w:val="00DA74CE"/>
    <w:rsid w:val="00DA7520"/>
    <w:rsid w:val="00DA7614"/>
    <w:rsid w:val="00DA785D"/>
    <w:rsid w:val="00DA7BCF"/>
    <w:rsid w:val="00DA7E3A"/>
    <w:rsid w:val="00DB01E1"/>
    <w:rsid w:val="00DB043D"/>
    <w:rsid w:val="00DB0449"/>
    <w:rsid w:val="00DB0651"/>
    <w:rsid w:val="00DB06FD"/>
    <w:rsid w:val="00DB0758"/>
    <w:rsid w:val="00DB0761"/>
    <w:rsid w:val="00DB07D9"/>
    <w:rsid w:val="00DB08F5"/>
    <w:rsid w:val="00DB0A03"/>
    <w:rsid w:val="00DB0A39"/>
    <w:rsid w:val="00DB0C58"/>
    <w:rsid w:val="00DB0C8C"/>
    <w:rsid w:val="00DB0DA0"/>
    <w:rsid w:val="00DB0DA7"/>
    <w:rsid w:val="00DB0DC6"/>
    <w:rsid w:val="00DB0DF6"/>
    <w:rsid w:val="00DB0F60"/>
    <w:rsid w:val="00DB11B1"/>
    <w:rsid w:val="00DB11EE"/>
    <w:rsid w:val="00DB12AD"/>
    <w:rsid w:val="00DB12CC"/>
    <w:rsid w:val="00DB14B1"/>
    <w:rsid w:val="00DB14E4"/>
    <w:rsid w:val="00DB1A7F"/>
    <w:rsid w:val="00DB1AD2"/>
    <w:rsid w:val="00DB1D79"/>
    <w:rsid w:val="00DB2146"/>
    <w:rsid w:val="00DB2494"/>
    <w:rsid w:val="00DB25AA"/>
    <w:rsid w:val="00DB2909"/>
    <w:rsid w:val="00DB2A64"/>
    <w:rsid w:val="00DB2DC5"/>
    <w:rsid w:val="00DB2EB1"/>
    <w:rsid w:val="00DB3013"/>
    <w:rsid w:val="00DB350F"/>
    <w:rsid w:val="00DB35C7"/>
    <w:rsid w:val="00DB380C"/>
    <w:rsid w:val="00DB3AA5"/>
    <w:rsid w:val="00DB3B10"/>
    <w:rsid w:val="00DB3C72"/>
    <w:rsid w:val="00DB3CD6"/>
    <w:rsid w:val="00DB3DFB"/>
    <w:rsid w:val="00DB4240"/>
    <w:rsid w:val="00DB4298"/>
    <w:rsid w:val="00DB4374"/>
    <w:rsid w:val="00DB47FF"/>
    <w:rsid w:val="00DB4A55"/>
    <w:rsid w:val="00DB4D01"/>
    <w:rsid w:val="00DB4D25"/>
    <w:rsid w:val="00DB4F48"/>
    <w:rsid w:val="00DB4F7B"/>
    <w:rsid w:val="00DB4FBB"/>
    <w:rsid w:val="00DB500C"/>
    <w:rsid w:val="00DB5351"/>
    <w:rsid w:val="00DB5438"/>
    <w:rsid w:val="00DB5473"/>
    <w:rsid w:val="00DB554C"/>
    <w:rsid w:val="00DB5815"/>
    <w:rsid w:val="00DB584E"/>
    <w:rsid w:val="00DB5B71"/>
    <w:rsid w:val="00DB5F67"/>
    <w:rsid w:val="00DB606A"/>
    <w:rsid w:val="00DB60AF"/>
    <w:rsid w:val="00DB62EF"/>
    <w:rsid w:val="00DB6315"/>
    <w:rsid w:val="00DB643D"/>
    <w:rsid w:val="00DB6520"/>
    <w:rsid w:val="00DB65C1"/>
    <w:rsid w:val="00DB6643"/>
    <w:rsid w:val="00DB675F"/>
    <w:rsid w:val="00DB68F9"/>
    <w:rsid w:val="00DB6A2D"/>
    <w:rsid w:val="00DB6A8D"/>
    <w:rsid w:val="00DB6B90"/>
    <w:rsid w:val="00DB6BC6"/>
    <w:rsid w:val="00DB6EB9"/>
    <w:rsid w:val="00DB6ED1"/>
    <w:rsid w:val="00DB7411"/>
    <w:rsid w:val="00DB74C0"/>
    <w:rsid w:val="00DB7851"/>
    <w:rsid w:val="00DB78E6"/>
    <w:rsid w:val="00DB79BF"/>
    <w:rsid w:val="00DB7A4D"/>
    <w:rsid w:val="00DB7D86"/>
    <w:rsid w:val="00DB7E65"/>
    <w:rsid w:val="00DB7EA6"/>
    <w:rsid w:val="00DB7F4E"/>
    <w:rsid w:val="00DC0112"/>
    <w:rsid w:val="00DC01D3"/>
    <w:rsid w:val="00DC0265"/>
    <w:rsid w:val="00DC03A6"/>
    <w:rsid w:val="00DC0701"/>
    <w:rsid w:val="00DC071C"/>
    <w:rsid w:val="00DC0D84"/>
    <w:rsid w:val="00DC0DC8"/>
    <w:rsid w:val="00DC0EC2"/>
    <w:rsid w:val="00DC1021"/>
    <w:rsid w:val="00DC11D0"/>
    <w:rsid w:val="00DC1219"/>
    <w:rsid w:val="00DC133B"/>
    <w:rsid w:val="00DC13FF"/>
    <w:rsid w:val="00DC15FE"/>
    <w:rsid w:val="00DC1658"/>
    <w:rsid w:val="00DC1957"/>
    <w:rsid w:val="00DC1A18"/>
    <w:rsid w:val="00DC1DD5"/>
    <w:rsid w:val="00DC1E31"/>
    <w:rsid w:val="00DC1F5A"/>
    <w:rsid w:val="00DC20B3"/>
    <w:rsid w:val="00DC214E"/>
    <w:rsid w:val="00DC21C8"/>
    <w:rsid w:val="00DC2250"/>
    <w:rsid w:val="00DC248E"/>
    <w:rsid w:val="00DC2521"/>
    <w:rsid w:val="00DC253C"/>
    <w:rsid w:val="00DC2A40"/>
    <w:rsid w:val="00DC2A46"/>
    <w:rsid w:val="00DC2B2F"/>
    <w:rsid w:val="00DC2DCE"/>
    <w:rsid w:val="00DC2DD8"/>
    <w:rsid w:val="00DC3254"/>
    <w:rsid w:val="00DC32F9"/>
    <w:rsid w:val="00DC37A6"/>
    <w:rsid w:val="00DC39E3"/>
    <w:rsid w:val="00DC3BDE"/>
    <w:rsid w:val="00DC3D86"/>
    <w:rsid w:val="00DC3EA6"/>
    <w:rsid w:val="00DC3FF9"/>
    <w:rsid w:val="00DC421C"/>
    <w:rsid w:val="00DC432C"/>
    <w:rsid w:val="00DC4745"/>
    <w:rsid w:val="00DC47CA"/>
    <w:rsid w:val="00DC489B"/>
    <w:rsid w:val="00DC4975"/>
    <w:rsid w:val="00DC4A11"/>
    <w:rsid w:val="00DC4CA2"/>
    <w:rsid w:val="00DC4CE5"/>
    <w:rsid w:val="00DC4DCE"/>
    <w:rsid w:val="00DC4F7A"/>
    <w:rsid w:val="00DC4FB2"/>
    <w:rsid w:val="00DC5226"/>
    <w:rsid w:val="00DC5414"/>
    <w:rsid w:val="00DC5908"/>
    <w:rsid w:val="00DC5A7A"/>
    <w:rsid w:val="00DC5DEB"/>
    <w:rsid w:val="00DC614B"/>
    <w:rsid w:val="00DC623A"/>
    <w:rsid w:val="00DC62DD"/>
    <w:rsid w:val="00DC63BA"/>
    <w:rsid w:val="00DC6534"/>
    <w:rsid w:val="00DC6628"/>
    <w:rsid w:val="00DC670B"/>
    <w:rsid w:val="00DC6792"/>
    <w:rsid w:val="00DC69CE"/>
    <w:rsid w:val="00DC6D97"/>
    <w:rsid w:val="00DC7207"/>
    <w:rsid w:val="00DC765B"/>
    <w:rsid w:val="00DC7793"/>
    <w:rsid w:val="00DC77CD"/>
    <w:rsid w:val="00DC77D7"/>
    <w:rsid w:val="00DC78C8"/>
    <w:rsid w:val="00DC7976"/>
    <w:rsid w:val="00DC7A68"/>
    <w:rsid w:val="00DC7B79"/>
    <w:rsid w:val="00DD0028"/>
    <w:rsid w:val="00DD0087"/>
    <w:rsid w:val="00DD015C"/>
    <w:rsid w:val="00DD0237"/>
    <w:rsid w:val="00DD03B0"/>
    <w:rsid w:val="00DD053E"/>
    <w:rsid w:val="00DD058B"/>
    <w:rsid w:val="00DD074F"/>
    <w:rsid w:val="00DD09C3"/>
    <w:rsid w:val="00DD0D9D"/>
    <w:rsid w:val="00DD0DA2"/>
    <w:rsid w:val="00DD0DAA"/>
    <w:rsid w:val="00DD0E27"/>
    <w:rsid w:val="00DD0F98"/>
    <w:rsid w:val="00DD12A6"/>
    <w:rsid w:val="00DD149C"/>
    <w:rsid w:val="00DD15AB"/>
    <w:rsid w:val="00DD15CD"/>
    <w:rsid w:val="00DD192D"/>
    <w:rsid w:val="00DD1BAE"/>
    <w:rsid w:val="00DD1C33"/>
    <w:rsid w:val="00DD2016"/>
    <w:rsid w:val="00DD2071"/>
    <w:rsid w:val="00DD20AA"/>
    <w:rsid w:val="00DD2127"/>
    <w:rsid w:val="00DD2262"/>
    <w:rsid w:val="00DD253F"/>
    <w:rsid w:val="00DD2686"/>
    <w:rsid w:val="00DD26EA"/>
    <w:rsid w:val="00DD27B0"/>
    <w:rsid w:val="00DD2847"/>
    <w:rsid w:val="00DD2AD0"/>
    <w:rsid w:val="00DD2AD2"/>
    <w:rsid w:val="00DD2AD4"/>
    <w:rsid w:val="00DD2B16"/>
    <w:rsid w:val="00DD2CAD"/>
    <w:rsid w:val="00DD2DE6"/>
    <w:rsid w:val="00DD3614"/>
    <w:rsid w:val="00DD36A6"/>
    <w:rsid w:val="00DD36EA"/>
    <w:rsid w:val="00DD3740"/>
    <w:rsid w:val="00DD3B60"/>
    <w:rsid w:val="00DD3B61"/>
    <w:rsid w:val="00DD3D60"/>
    <w:rsid w:val="00DD3E7A"/>
    <w:rsid w:val="00DD4233"/>
    <w:rsid w:val="00DD45BA"/>
    <w:rsid w:val="00DD4722"/>
    <w:rsid w:val="00DD486A"/>
    <w:rsid w:val="00DD4C98"/>
    <w:rsid w:val="00DD51BF"/>
    <w:rsid w:val="00DD52DE"/>
    <w:rsid w:val="00DD5549"/>
    <w:rsid w:val="00DD5806"/>
    <w:rsid w:val="00DD5875"/>
    <w:rsid w:val="00DD5B48"/>
    <w:rsid w:val="00DD5BC0"/>
    <w:rsid w:val="00DD5C72"/>
    <w:rsid w:val="00DD6130"/>
    <w:rsid w:val="00DD622D"/>
    <w:rsid w:val="00DD6338"/>
    <w:rsid w:val="00DD66AA"/>
    <w:rsid w:val="00DD6728"/>
    <w:rsid w:val="00DD6809"/>
    <w:rsid w:val="00DD699D"/>
    <w:rsid w:val="00DD6A72"/>
    <w:rsid w:val="00DD6AEA"/>
    <w:rsid w:val="00DD6B0E"/>
    <w:rsid w:val="00DD6BCC"/>
    <w:rsid w:val="00DD6BF0"/>
    <w:rsid w:val="00DD7233"/>
    <w:rsid w:val="00DD7542"/>
    <w:rsid w:val="00DD762B"/>
    <w:rsid w:val="00DD7ACC"/>
    <w:rsid w:val="00DE04FC"/>
    <w:rsid w:val="00DE0568"/>
    <w:rsid w:val="00DE06F8"/>
    <w:rsid w:val="00DE09F8"/>
    <w:rsid w:val="00DE0A62"/>
    <w:rsid w:val="00DE0C9B"/>
    <w:rsid w:val="00DE0E66"/>
    <w:rsid w:val="00DE0E77"/>
    <w:rsid w:val="00DE0EE7"/>
    <w:rsid w:val="00DE0F8D"/>
    <w:rsid w:val="00DE0FBC"/>
    <w:rsid w:val="00DE135E"/>
    <w:rsid w:val="00DE13AF"/>
    <w:rsid w:val="00DE1775"/>
    <w:rsid w:val="00DE1EDD"/>
    <w:rsid w:val="00DE1F61"/>
    <w:rsid w:val="00DE1F6C"/>
    <w:rsid w:val="00DE224C"/>
    <w:rsid w:val="00DE24F2"/>
    <w:rsid w:val="00DE24F4"/>
    <w:rsid w:val="00DE2999"/>
    <w:rsid w:val="00DE2BD2"/>
    <w:rsid w:val="00DE2C5A"/>
    <w:rsid w:val="00DE2CAF"/>
    <w:rsid w:val="00DE2DAF"/>
    <w:rsid w:val="00DE2F8B"/>
    <w:rsid w:val="00DE30B2"/>
    <w:rsid w:val="00DE3217"/>
    <w:rsid w:val="00DE37D3"/>
    <w:rsid w:val="00DE38F4"/>
    <w:rsid w:val="00DE3956"/>
    <w:rsid w:val="00DE3983"/>
    <w:rsid w:val="00DE4195"/>
    <w:rsid w:val="00DE41B8"/>
    <w:rsid w:val="00DE42C0"/>
    <w:rsid w:val="00DE434C"/>
    <w:rsid w:val="00DE4397"/>
    <w:rsid w:val="00DE47E1"/>
    <w:rsid w:val="00DE49B4"/>
    <w:rsid w:val="00DE4CB9"/>
    <w:rsid w:val="00DE4CC7"/>
    <w:rsid w:val="00DE5181"/>
    <w:rsid w:val="00DE56EC"/>
    <w:rsid w:val="00DE5707"/>
    <w:rsid w:val="00DE5C62"/>
    <w:rsid w:val="00DE5CCD"/>
    <w:rsid w:val="00DE5EE5"/>
    <w:rsid w:val="00DE5FDF"/>
    <w:rsid w:val="00DE60D6"/>
    <w:rsid w:val="00DE6253"/>
    <w:rsid w:val="00DE6504"/>
    <w:rsid w:val="00DE66D1"/>
    <w:rsid w:val="00DE68B2"/>
    <w:rsid w:val="00DE6AAD"/>
    <w:rsid w:val="00DE6AB6"/>
    <w:rsid w:val="00DE70F3"/>
    <w:rsid w:val="00DE7229"/>
    <w:rsid w:val="00DE7338"/>
    <w:rsid w:val="00DE7822"/>
    <w:rsid w:val="00DE7C19"/>
    <w:rsid w:val="00DE7C82"/>
    <w:rsid w:val="00DE7C98"/>
    <w:rsid w:val="00DE7D5B"/>
    <w:rsid w:val="00DE7EDD"/>
    <w:rsid w:val="00DF0054"/>
    <w:rsid w:val="00DF0405"/>
    <w:rsid w:val="00DF07E4"/>
    <w:rsid w:val="00DF0865"/>
    <w:rsid w:val="00DF0B48"/>
    <w:rsid w:val="00DF0E38"/>
    <w:rsid w:val="00DF0F61"/>
    <w:rsid w:val="00DF14B5"/>
    <w:rsid w:val="00DF153A"/>
    <w:rsid w:val="00DF1571"/>
    <w:rsid w:val="00DF18FF"/>
    <w:rsid w:val="00DF1904"/>
    <w:rsid w:val="00DF191E"/>
    <w:rsid w:val="00DF1EC9"/>
    <w:rsid w:val="00DF1FA9"/>
    <w:rsid w:val="00DF2627"/>
    <w:rsid w:val="00DF288B"/>
    <w:rsid w:val="00DF2A22"/>
    <w:rsid w:val="00DF2C27"/>
    <w:rsid w:val="00DF2F0D"/>
    <w:rsid w:val="00DF2F6D"/>
    <w:rsid w:val="00DF3031"/>
    <w:rsid w:val="00DF321F"/>
    <w:rsid w:val="00DF347D"/>
    <w:rsid w:val="00DF3506"/>
    <w:rsid w:val="00DF3526"/>
    <w:rsid w:val="00DF392A"/>
    <w:rsid w:val="00DF3A60"/>
    <w:rsid w:val="00DF3BAB"/>
    <w:rsid w:val="00DF3EEF"/>
    <w:rsid w:val="00DF457D"/>
    <w:rsid w:val="00DF4600"/>
    <w:rsid w:val="00DF4602"/>
    <w:rsid w:val="00DF4753"/>
    <w:rsid w:val="00DF49F6"/>
    <w:rsid w:val="00DF4F06"/>
    <w:rsid w:val="00DF5048"/>
    <w:rsid w:val="00DF510B"/>
    <w:rsid w:val="00DF5141"/>
    <w:rsid w:val="00DF528C"/>
    <w:rsid w:val="00DF543E"/>
    <w:rsid w:val="00DF56D1"/>
    <w:rsid w:val="00DF5781"/>
    <w:rsid w:val="00DF58E8"/>
    <w:rsid w:val="00DF5935"/>
    <w:rsid w:val="00DF59D6"/>
    <w:rsid w:val="00DF5B2C"/>
    <w:rsid w:val="00DF5B94"/>
    <w:rsid w:val="00DF5C3C"/>
    <w:rsid w:val="00DF602D"/>
    <w:rsid w:val="00DF608B"/>
    <w:rsid w:val="00DF6184"/>
    <w:rsid w:val="00DF6216"/>
    <w:rsid w:val="00DF632F"/>
    <w:rsid w:val="00DF63CA"/>
    <w:rsid w:val="00DF64A3"/>
    <w:rsid w:val="00DF65D8"/>
    <w:rsid w:val="00DF6734"/>
    <w:rsid w:val="00DF67D2"/>
    <w:rsid w:val="00DF6897"/>
    <w:rsid w:val="00DF6904"/>
    <w:rsid w:val="00DF6952"/>
    <w:rsid w:val="00DF6F1C"/>
    <w:rsid w:val="00DF6FCF"/>
    <w:rsid w:val="00DF7119"/>
    <w:rsid w:val="00DF7168"/>
    <w:rsid w:val="00DF71BC"/>
    <w:rsid w:val="00DF720B"/>
    <w:rsid w:val="00DF720D"/>
    <w:rsid w:val="00DF7438"/>
    <w:rsid w:val="00DF78C2"/>
    <w:rsid w:val="00DF7AC6"/>
    <w:rsid w:val="00DF7D78"/>
    <w:rsid w:val="00DF7EAC"/>
    <w:rsid w:val="00DF7EB6"/>
    <w:rsid w:val="00E00168"/>
    <w:rsid w:val="00E00342"/>
    <w:rsid w:val="00E00BC9"/>
    <w:rsid w:val="00E0136E"/>
    <w:rsid w:val="00E01418"/>
    <w:rsid w:val="00E01469"/>
    <w:rsid w:val="00E01497"/>
    <w:rsid w:val="00E01611"/>
    <w:rsid w:val="00E016B2"/>
    <w:rsid w:val="00E017D4"/>
    <w:rsid w:val="00E01946"/>
    <w:rsid w:val="00E01996"/>
    <w:rsid w:val="00E01C19"/>
    <w:rsid w:val="00E01DEB"/>
    <w:rsid w:val="00E01F56"/>
    <w:rsid w:val="00E020CE"/>
    <w:rsid w:val="00E02261"/>
    <w:rsid w:val="00E023EE"/>
    <w:rsid w:val="00E02439"/>
    <w:rsid w:val="00E024A6"/>
    <w:rsid w:val="00E024AE"/>
    <w:rsid w:val="00E025E5"/>
    <w:rsid w:val="00E02B5E"/>
    <w:rsid w:val="00E02C4E"/>
    <w:rsid w:val="00E02E21"/>
    <w:rsid w:val="00E02E75"/>
    <w:rsid w:val="00E0306C"/>
    <w:rsid w:val="00E03315"/>
    <w:rsid w:val="00E03602"/>
    <w:rsid w:val="00E036BB"/>
    <w:rsid w:val="00E036D3"/>
    <w:rsid w:val="00E03803"/>
    <w:rsid w:val="00E03900"/>
    <w:rsid w:val="00E03A17"/>
    <w:rsid w:val="00E03BF6"/>
    <w:rsid w:val="00E03DBF"/>
    <w:rsid w:val="00E03DDF"/>
    <w:rsid w:val="00E03E01"/>
    <w:rsid w:val="00E0413D"/>
    <w:rsid w:val="00E04272"/>
    <w:rsid w:val="00E0442A"/>
    <w:rsid w:val="00E046BD"/>
    <w:rsid w:val="00E0472C"/>
    <w:rsid w:val="00E04841"/>
    <w:rsid w:val="00E04A8C"/>
    <w:rsid w:val="00E04C9D"/>
    <w:rsid w:val="00E05090"/>
    <w:rsid w:val="00E05228"/>
    <w:rsid w:val="00E054EC"/>
    <w:rsid w:val="00E0551F"/>
    <w:rsid w:val="00E05826"/>
    <w:rsid w:val="00E059D8"/>
    <w:rsid w:val="00E05CC1"/>
    <w:rsid w:val="00E05E33"/>
    <w:rsid w:val="00E060E3"/>
    <w:rsid w:val="00E0618D"/>
    <w:rsid w:val="00E061AE"/>
    <w:rsid w:val="00E063FA"/>
    <w:rsid w:val="00E0654A"/>
    <w:rsid w:val="00E06607"/>
    <w:rsid w:val="00E069D0"/>
    <w:rsid w:val="00E06D70"/>
    <w:rsid w:val="00E06E5D"/>
    <w:rsid w:val="00E06F73"/>
    <w:rsid w:val="00E0711A"/>
    <w:rsid w:val="00E071FE"/>
    <w:rsid w:val="00E07333"/>
    <w:rsid w:val="00E07410"/>
    <w:rsid w:val="00E074F8"/>
    <w:rsid w:val="00E076E4"/>
    <w:rsid w:val="00E07790"/>
    <w:rsid w:val="00E077A1"/>
    <w:rsid w:val="00E07A2F"/>
    <w:rsid w:val="00E07B1D"/>
    <w:rsid w:val="00E07DE8"/>
    <w:rsid w:val="00E07E56"/>
    <w:rsid w:val="00E100FE"/>
    <w:rsid w:val="00E1016D"/>
    <w:rsid w:val="00E101D5"/>
    <w:rsid w:val="00E102BE"/>
    <w:rsid w:val="00E102CE"/>
    <w:rsid w:val="00E10493"/>
    <w:rsid w:val="00E10552"/>
    <w:rsid w:val="00E105BE"/>
    <w:rsid w:val="00E106CA"/>
    <w:rsid w:val="00E106F8"/>
    <w:rsid w:val="00E1071A"/>
    <w:rsid w:val="00E10834"/>
    <w:rsid w:val="00E108AA"/>
    <w:rsid w:val="00E10C17"/>
    <w:rsid w:val="00E10D53"/>
    <w:rsid w:val="00E10D85"/>
    <w:rsid w:val="00E110EF"/>
    <w:rsid w:val="00E1113F"/>
    <w:rsid w:val="00E11381"/>
    <w:rsid w:val="00E11404"/>
    <w:rsid w:val="00E11672"/>
    <w:rsid w:val="00E1168E"/>
    <w:rsid w:val="00E11732"/>
    <w:rsid w:val="00E118DD"/>
    <w:rsid w:val="00E11B77"/>
    <w:rsid w:val="00E11BCA"/>
    <w:rsid w:val="00E11C1D"/>
    <w:rsid w:val="00E11D63"/>
    <w:rsid w:val="00E12374"/>
    <w:rsid w:val="00E126D7"/>
    <w:rsid w:val="00E12822"/>
    <w:rsid w:val="00E128D5"/>
    <w:rsid w:val="00E12903"/>
    <w:rsid w:val="00E129C1"/>
    <w:rsid w:val="00E12B09"/>
    <w:rsid w:val="00E12C2B"/>
    <w:rsid w:val="00E12CA6"/>
    <w:rsid w:val="00E12D40"/>
    <w:rsid w:val="00E12D7C"/>
    <w:rsid w:val="00E12DCB"/>
    <w:rsid w:val="00E12DFF"/>
    <w:rsid w:val="00E12E2A"/>
    <w:rsid w:val="00E130A4"/>
    <w:rsid w:val="00E130BB"/>
    <w:rsid w:val="00E131E9"/>
    <w:rsid w:val="00E134B4"/>
    <w:rsid w:val="00E1351C"/>
    <w:rsid w:val="00E1356D"/>
    <w:rsid w:val="00E135F3"/>
    <w:rsid w:val="00E139BC"/>
    <w:rsid w:val="00E13B19"/>
    <w:rsid w:val="00E13BAD"/>
    <w:rsid w:val="00E13E76"/>
    <w:rsid w:val="00E13E8A"/>
    <w:rsid w:val="00E13F04"/>
    <w:rsid w:val="00E14070"/>
    <w:rsid w:val="00E140C6"/>
    <w:rsid w:val="00E1411A"/>
    <w:rsid w:val="00E14128"/>
    <w:rsid w:val="00E14272"/>
    <w:rsid w:val="00E14282"/>
    <w:rsid w:val="00E142BB"/>
    <w:rsid w:val="00E146F0"/>
    <w:rsid w:val="00E14856"/>
    <w:rsid w:val="00E14921"/>
    <w:rsid w:val="00E14B0B"/>
    <w:rsid w:val="00E14C7E"/>
    <w:rsid w:val="00E14D2E"/>
    <w:rsid w:val="00E14D98"/>
    <w:rsid w:val="00E15284"/>
    <w:rsid w:val="00E15497"/>
    <w:rsid w:val="00E1563A"/>
    <w:rsid w:val="00E15941"/>
    <w:rsid w:val="00E15C44"/>
    <w:rsid w:val="00E15E0E"/>
    <w:rsid w:val="00E15FDF"/>
    <w:rsid w:val="00E15FE9"/>
    <w:rsid w:val="00E161FE"/>
    <w:rsid w:val="00E164BA"/>
    <w:rsid w:val="00E1652A"/>
    <w:rsid w:val="00E1652B"/>
    <w:rsid w:val="00E167D1"/>
    <w:rsid w:val="00E168E1"/>
    <w:rsid w:val="00E16933"/>
    <w:rsid w:val="00E16A73"/>
    <w:rsid w:val="00E16B67"/>
    <w:rsid w:val="00E16E68"/>
    <w:rsid w:val="00E171E9"/>
    <w:rsid w:val="00E1738D"/>
    <w:rsid w:val="00E1792D"/>
    <w:rsid w:val="00E17A7C"/>
    <w:rsid w:val="00E17D69"/>
    <w:rsid w:val="00E17D72"/>
    <w:rsid w:val="00E20468"/>
    <w:rsid w:val="00E205B9"/>
    <w:rsid w:val="00E2068F"/>
    <w:rsid w:val="00E206DB"/>
    <w:rsid w:val="00E2077C"/>
    <w:rsid w:val="00E2080B"/>
    <w:rsid w:val="00E20828"/>
    <w:rsid w:val="00E209F4"/>
    <w:rsid w:val="00E20A97"/>
    <w:rsid w:val="00E20C1B"/>
    <w:rsid w:val="00E20C39"/>
    <w:rsid w:val="00E20CB0"/>
    <w:rsid w:val="00E20DFD"/>
    <w:rsid w:val="00E20F55"/>
    <w:rsid w:val="00E21315"/>
    <w:rsid w:val="00E21EA7"/>
    <w:rsid w:val="00E21FB1"/>
    <w:rsid w:val="00E22132"/>
    <w:rsid w:val="00E22436"/>
    <w:rsid w:val="00E2256E"/>
    <w:rsid w:val="00E225DD"/>
    <w:rsid w:val="00E22746"/>
    <w:rsid w:val="00E22868"/>
    <w:rsid w:val="00E22B43"/>
    <w:rsid w:val="00E22C6C"/>
    <w:rsid w:val="00E232F8"/>
    <w:rsid w:val="00E23469"/>
    <w:rsid w:val="00E237FC"/>
    <w:rsid w:val="00E23934"/>
    <w:rsid w:val="00E23A3A"/>
    <w:rsid w:val="00E23DF5"/>
    <w:rsid w:val="00E23F7E"/>
    <w:rsid w:val="00E2400D"/>
    <w:rsid w:val="00E240AF"/>
    <w:rsid w:val="00E240D4"/>
    <w:rsid w:val="00E24520"/>
    <w:rsid w:val="00E24756"/>
    <w:rsid w:val="00E24BDD"/>
    <w:rsid w:val="00E24EF2"/>
    <w:rsid w:val="00E25018"/>
    <w:rsid w:val="00E25695"/>
    <w:rsid w:val="00E258FC"/>
    <w:rsid w:val="00E2595C"/>
    <w:rsid w:val="00E25A9D"/>
    <w:rsid w:val="00E25CEC"/>
    <w:rsid w:val="00E2606C"/>
    <w:rsid w:val="00E260B7"/>
    <w:rsid w:val="00E261B8"/>
    <w:rsid w:val="00E262B9"/>
    <w:rsid w:val="00E2635D"/>
    <w:rsid w:val="00E26501"/>
    <w:rsid w:val="00E26919"/>
    <w:rsid w:val="00E26B7D"/>
    <w:rsid w:val="00E26BB6"/>
    <w:rsid w:val="00E26E91"/>
    <w:rsid w:val="00E26F03"/>
    <w:rsid w:val="00E27634"/>
    <w:rsid w:val="00E27661"/>
    <w:rsid w:val="00E27724"/>
    <w:rsid w:val="00E2777B"/>
    <w:rsid w:val="00E27866"/>
    <w:rsid w:val="00E279B6"/>
    <w:rsid w:val="00E27F5D"/>
    <w:rsid w:val="00E3062F"/>
    <w:rsid w:val="00E3089B"/>
    <w:rsid w:val="00E309A6"/>
    <w:rsid w:val="00E30CE1"/>
    <w:rsid w:val="00E31178"/>
    <w:rsid w:val="00E31230"/>
    <w:rsid w:val="00E3132A"/>
    <w:rsid w:val="00E3132B"/>
    <w:rsid w:val="00E31472"/>
    <w:rsid w:val="00E31727"/>
    <w:rsid w:val="00E31804"/>
    <w:rsid w:val="00E318B3"/>
    <w:rsid w:val="00E3198F"/>
    <w:rsid w:val="00E31B3D"/>
    <w:rsid w:val="00E31BD0"/>
    <w:rsid w:val="00E31C18"/>
    <w:rsid w:val="00E31E3D"/>
    <w:rsid w:val="00E323ED"/>
    <w:rsid w:val="00E324EF"/>
    <w:rsid w:val="00E32795"/>
    <w:rsid w:val="00E32821"/>
    <w:rsid w:val="00E328D2"/>
    <w:rsid w:val="00E329E3"/>
    <w:rsid w:val="00E32E70"/>
    <w:rsid w:val="00E331C4"/>
    <w:rsid w:val="00E3330F"/>
    <w:rsid w:val="00E333D4"/>
    <w:rsid w:val="00E33750"/>
    <w:rsid w:val="00E33859"/>
    <w:rsid w:val="00E340B3"/>
    <w:rsid w:val="00E340DD"/>
    <w:rsid w:val="00E3438F"/>
    <w:rsid w:val="00E34454"/>
    <w:rsid w:val="00E347A0"/>
    <w:rsid w:val="00E34B01"/>
    <w:rsid w:val="00E34E52"/>
    <w:rsid w:val="00E3520D"/>
    <w:rsid w:val="00E3522F"/>
    <w:rsid w:val="00E35298"/>
    <w:rsid w:val="00E355C3"/>
    <w:rsid w:val="00E35ACF"/>
    <w:rsid w:val="00E35C9A"/>
    <w:rsid w:val="00E35FF0"/>
    <w:rsid w:val="00E3622D"/>
    <w:rsid w:val="00E369A5"/>
    <w:rsid w:val="00E369AD"/>
    <w:rsid w:val="00E36A10"/>
    <w:rsid w:val="00E36AB9"/>
    <w:rsid w:val="00E36DC5"/>
    <w:rsid w:val="00E36E2E"/>
    <w:rsid w:val="00E36F49"/>
    <w:rsid w:val="00E37197"/>
    <w:rsid w:val="00E37210"/>
    <w:rsid w:val="00E3758A"/>
    <w:rsid w:val="00E37599"/>
    <w:rsid w:val="00E375B8"/>
    <w:rsid w:val="00E3770F"/>
    <w:rsid w:val="00E37749"/>
    <w:rsid w:val="00E37909"/>
    <w:rsid w:val="00E37999"/>
    <w:rsid w:val="00E37BA8"/>
    <w:rsid w:val="00E403C7"/>
    <w:rsid w:val="00E4067E"/>
    <w:rsid w:val="00E40718"/>
    <w:rsid w:val="00E40812"/>
    <w:rsid w:val="00E408A8"/>
    <w:rsid w:val="00E409C7"/>
    <w:rsid w:val="00E409D9"/>
    <w:rsid w:val="00E40B6A"/>
    <w:rsid w:val="00E40FC2"/>
    <w:rsid w:val="00E410E2"/>
    <w:rsid w:val="00E41293"/>
    <w:rsid w:val="00E415BD"/>
    <w:rsid w:val="00E4173E"/>
    <w:rsid w:val="00E41749"/>
    <w:rsid w:val="00E41775"/>
    <w:rsid w:val="00E41A03"/>
    <w:rsid w:val="00E41A4E"/>
    <w:rsid w:val="00E41A72"/>
    <w:rsid w:val="00E41B78"/>
    <w:rsid w:val="00E4225D"/>
    <w:rsid w:val="00E425CA"/>
    <w:rsid w:val="00E425E2"/>
    <w:rsid w:val="00E42D38"/>
    <w:rsid w:val="00E430E1"/>
    <w:rsid w:val="00E43230"/>
    <w:rsid w:val="00E43389"/>
    <w:rsid w:val="00E43531"/>
    <w:rsid w:val="00E436AB"/>
    <w:rsid w:val="00E438CF"/>
    <w:rsid w:val="00E43B9D"/>
    <w:rsid w:val="00E43BF5"/>
    <w:rsid w:val="00E43CAE"/>
    <w:rsid w:val="00E43D24"/>
    <w:rsid w:val="00E4404F"/>
    <w:rsid w:val="00E440CD"/>
    <w:rsid w:val="00E44121"/>
    <w:rsid w:val="00E441CF"/>
    <w:rsid w:val="00E441F2"/>
    <w:rsid w:val="00E443D5"/>
    <w:rsid w:val="00E4474B"/>
    <w:rsid w:val="00E448AE"/>
    <w:rsid w:val="00E448D0"/>
    <w:rsid w:val="00E44D53"/>
    <w:rsid w:val="00E44DAD"/>
    <w:rsid w:val="00E44DAE"/>
    <w:rsid w:val="00E45016"/>
    <w:rsid w:val="00E4523C"/>
    <w:rsid w:val="00E45475"/>
    <w:rsid w:val="00E454C6"/>
    <w:rsid w:val="00E4553D"/>
    <w:rsid w:val="00E45555"/>
    <w:rsid w:val="00E456DE"/>
    <w:rsid w:val="00E45AE6"/>
    <w:rsid w:val="00E45BA5"/>
    <w:rsid w:val="00E45C73"/>
    <w:rsid w:val="00E45FD3"/>
    <w:rsid w:val="00E46067"/>
    <w:rsid w:val="00E4612D"/>
    <w:rsid w:val="00E46164"/>
    <w:rsid w:val="00E461C5"/>
    <w:rsid w:val="00E46336"/>
    <w:rsid w:val="00E4643B"/>
    <w:rsid w:val="00E46468"/>
    <w:rsid w:val="00E46580"/>
    <w:rsid w:val="00E4674C"/>
    <w:rsid w:val="00E46800"/>
    <w:rsid w:val="00E4697E"/>
    <w:rsid w:val="00E46B59"/>
    <w:rsid w:val="00E46D8B"/>
    <w:rsid w:val="00E46D9D"/>
    <w:rsid w:val="00E46EE3"/>
    <w:rsid w:val="00E471CB"/>
    <w:rsid w:val="00E472AE"/>
    <w:rsid w:val="00E47357"/>
    <w:rsid w:val="00E47637"/>
    <w:rsid w:val="00E476B9"/>
    <w:rsid w:val="00E476CB"/>
    <w:rsid w:val="00E47882"/>
    <w:rsid w:val="00E479DB"/>
    <w:rsid w:val="00E479F8"/>
    <w:rsid w:val="00E47B65"/>
    <w:rsid w:val="00E47DC7"/>
    <w:rsid w:val="00E47E0E"/>
    <w:rsid w:val="00E47EFC"/>
    <w:rsid w:val="00E50137"/>
    <w:rsid w:val="00E50453"/>
    <w:rsid w:val="00E50511"/>
    <w:rsid w:val="00E507B0"/>
    <w:rsid w:val="00E50DF7"/>
    <w:rsid w:val="00E51038"/>
    <w:rsid w:val="00E51056"/>
    <w:rsid w:val="00E51075"/>
    <w:rsid w:val="00E512F9"/>
    <w:rsid w:val="00E51345"/>
    <w:rsid w:val="00E513D2"/>
    <w:rsid w:val="00E514AD"/>
    <w:rsid w:val="00E51556"/>
    <w:rsid w:val="00E51767"/>
    <w:rsid w:val="00E51993"/>
    <w:rsid w:val="00E51CB1"/>
    <w:rsid w:val="00E51CFB"/>
    <w:rsid w:val="00E51D82"/>
    <w:rsid w:val="00E52173"/>
    <w:rsid w:val="00E52419"/>
    <w:rsid w:val="00E524C8"/>
    <w:rsid w:val="00E52512"/>
    <w:rsid w:val="00E52689"/>
    <w:rsid w:val="00E5280B"/>
    <w:rsid w:val="00E529CD"/>
    <w:rsid w:val="00E529D7"/>
    <w:rsid w:val="00E52B45"/>
    <w:rsid w:val="00E52B64"/>
    <w:rsid w:val="00E52CB9"/>
    <w:rsid w:val="00E52E4A"/>
    <w:rsid w:val="00E52F81"/>
    <w:rsid w:val="00E53057"/>
    <w:rsid w:val="00E532B4"/>
    <w:rsid w:val="00E53376"/>
    <w:rsid w:val="00E534B3"/>
    <w:rsid w:val="00E53730"/>
    <w:rsid w:val="00E5389D"/>
    <w:rsid w:val="00E53956"/>
    <w:rsid w:val="00E539DC"/>
    <w:rsid w:val="00E53B30"/>
    <w:rsid w:val="00E53B34"/>
    <w:rsid w:val="00E53B65"/>
    <w:rsid w:val="00E53B69"/>
    <w:rsid w:val="00E53DD6"/>
    <w:rsid w:val="00E53F69"/>
    <w:rsid w:val="00E53F89"/>
    <w:rsid w:val="00E54096"/>
    <w:rsid w:val="00E5469F"/>
    <w:rsid w:val="00E548F8"/>
    <w:rsid w:val="00E54AAD"/>
    <w:rsid w:val="00E54BC1"/>
    <w:rsid w:val="00E54CBB"/>
    <w:rsid w:val="00E54E44"/>
    <w:rsid w:val="00E54E47"/>
    <w:rsid w:val="00E54FE6"/>
    <w:rsid w:val="00E55035"/>
    <w:rsid w:val="00E5511B"/>
    <w:rsid w:val="00E554EA"/>
    <w:rsid w:val="00E55570"/>
    <w:rsid w:val="00E55671"/>
    <w:rsid w:val="00E55691"/>
    <w:rsid w:val="00E55810"/>
    <w:rsid w:val="00E55927"/>
    <w:rsid w:val="00E55A19"/>
    <w:rsid w:val="00E55ED6"/>
    <w:rsid w:val="00E5600C"/>
    <w:rsid w:val="00E560B3"/>
    <w:rsid w:val="00E560E4"/>
    <w:rsid w:val="00E56768"/>
    <w:rsid w:val="00E56C06"/>
    <w:rsid w:val="00E56C94"/>
    <w:rsid w:val="00E570CC"/>
    <w:rsid w:val="00E57197"/>
    <w:rsid w:val="00E571F2"/>
    <w:rsid w:val="00E573D9"/>
    <w:rsid w:val="00E5744E"/>
    <w:rsid w:val="00E57610"/>
    <w:rsid w:val="00E5767A"/>
    <w:rsid w:val="00E57877"/>
    <w:rsid w:val="00E578D8"/>
    <w:rsid w:val="00E57BFC"/>
    <w:rsid w:val="00E57C3D"/>
    <w:rsid w:val="00E57CD7"/>
    <w:rsid w:val="00E57E11"/>
    <w:rsid w:val="00E57EAC"/>
    <w:rsid w:val="00E57EC8"/>
    <w:rsid w:val="00E6024A"/>
    <w:rsid w:val="00E60338"/>
    <w:rsid w:val="00E60390"/>
    <w:rsid w:val="00E608FA"/>
    <w:rsid w:val="00E60A04"/>
    <w:rsid w:val="00E60E71"/>
    <w:rsid w:val="00E6101A"/>
    <w:rsid w:val="00E6104A"/>
    <w:rsid w:val="00E610A5"/>
    <w:rsid w:val="00E6132F"/>
    <w:rsid w:val="00E61350"/>
    <w:rsid w:val="00E613B7"/>
    <w:rsid w:val="00E61583"/>
    <w:rsid w:val="00E615FC"/>
    <w:rsid w:val="00E616A3"/>
    <w:rsid w:val="00E61797"/>
    <w:rsid w:val="00E617E0"/>
    <w:rsid w:val="00E61B62"/>
    <w:rsid w:val="00E61F1D"/>
    <w:rsid w:val="00E61F98"/>
    <w:rsid w:val="00E62094"/>
    <w:rsid w:val="00E620D2"/>
    <w:rsid w:val="00E621CE"/>
    <w:rsid w:val="00E6229E"/>
    <w:rsid w:val="00E6230B"/>
    <w:rsid w:val="00E6242E"/>
    <w:rsid w:val="00E62A1A"/>
    <w:rsid w:val="00E62A66"/>
    <w:rsid w:val="00E62FF7"/>
    <w:rsid w:val="00E63042"/>
    <w:rsid w:val="00E630F4"/>
    <w:rsid w:val="00E630FF"/>
    <w:rsid w:val="00E63651"/>
    <w:rsid w:val="00E63737"/>
    <w:rsid w:val="00E6373B"/>
    <w:rsid w:val="00E6385F"/>
    <w:rsid w:val="00E63CD9"/>
    <w:rsid w:val="00E64081"/>
    <w:rsid w:val="00E64108"/>
    <w:rsid w:val="00E64129"/>
    <w:rsid w:val="00E6434F"/>
    <w:rsid w:val="00E643AF"/>
    <w:rsid w:val="00E644A1"/>
    <w:rsid w:val="00E644F9"/>
    <w:rsid w:val="00E6479F"/>
    <w:rsid w:val="00E64818"/>
    <w:rsid w:val="00E648B8"/>
    <w:rsid w:val="00E64AB3"/>
    <w:rsid w:val="00E64BF3"/>
    <w:rsid w:val="00E64C0E"/>
    <w:rsid w:val="00E64E70"/>
    <w:rsid w:val="00E64EC1"/>
    <w:rsid w:val="00E65123"/>
    <w:rsid w:val="00E65179"/>
    <w:rsid w:val="00E65392"/>
    <w:rsid w:val="00E65422"/>
    <w:rsid w:val="00E65761"/>
    <w:rsid w:val="00E657ED"/>
    <w:rsid w:val="00E65A60"/>
    <w:rsid w:val="00E65D8E"/>
    <w:rsid w:val="00E66159"/>
    <w:rsid w:val="00E66245"/>
    <w:rsid w:val="00E66381"/>
    <w:rsid w:val="00E666F0"/>
    <w:rsid w:val="00E66752"/>
    <w:rsid w:val="00E668E3"/>
    <w:rsid w:val="00E668FF"/>
    <w:rsid w:val="00E66AF6"/>
    <w:rsid w:val="00E66DEB"/>
    <w:rsid w:val="00E66E60"/>
    <w:rsid w:val="00E67045"/>
    <w:rsid w:val="00E672F1"/>
    <w:rsid w:val="00E6741F"/>
    <w:rsid w:val="00E6751B"/>
    <w:rsid w:val="00E67734"/>
    <w:rsid w:val="00E67C57"/>
    <w:rsid w:val="00E67E55"/>
    <w:rsid w:val="00E700A4"/>
    <w:rsid w:val="00E702DE"/>
    <w:rsid w:val="00E703F9"/>
    <w:rsid w:val="00E7051B"/>
    <w:rsid w:val="00E7062D"/>
    <w:rsid w:val="00E706FE"/>
    <w:rsid w:val="00E70831"/>
    <w:rsid w:val="00E70A52"/>
    <w:rsid w:val="00E70AE5"/>
    <w:rsid w:val="00E70B4E"/>
    <w:rsid w:val="00E70B62"/>
    <w:rsid w:val="00E70C19"/>
    <w:rsid w:val="00E70FD5"/>
    <w:rsid w:val="00E7101A"/>
    <w:rsid w:val="00E71123"/>
    <w:rsid w:val="00E71140"/>
    <w:rsid w:val="00E7127C"/>
    <w:rsid w:val="00E716A9"/>
    <w:rsid w:val="00E716C7"/>
    <w:rsid w:val="00E7190C"/>
    <w:rsid w:val="00E71911"/>
    <w:rsid w:val="00E71CCC"/>
    <w:rsid w:val="00E71CD2"/>
    <w:rsid w:val="00E71F66"/>
    <w:rsid w:val="00E71FEF"/>
    <w:rsid w:val="00E723FC"/>
    <w:rsid w:val="00E72420"/>
    <w:rsid w:val="00E72846"/>
    <w:rsid w:val="00E72C31"/>
    <w:rsid w:val="00E72DDA"/>
    <w:rsid w:val="00E72EA3"/>
    <w:rsid w:val="00E732D8"/>
    <w:rsid w:val="00E73327"/>
    <w:rsid w:val="00E73397"/>
    <w:rsid w:val="00E735F9"/>
    <w:rsid w:val="00E73798"/>
    <w:rsid w:val="00E738A2"/>
    <w:rsid w:val="00E73A64"/>
    <w:rsid w:val="00E73AF3"/>
    <w:rsid w:val="00E73C7E"/>
    <w:rsid w:val="00E73E2E"/>
    <w:rsid w:val="00E73F5D"/>
    <w:rsid w:val="00E73F6D"/>
    <w:rsid w:val="00E740F3"/>
    <w:rsid w:val="00E742F5"/>
    <w:rsid w:val="00E74577"/>
    <w:rsid w:val="00E745AA"/>
    <w:rsid w:val="00E74875"/>
    <w:rsid w:val="00E74AA9"/>
    <w:rsid w:val="00E74F4E"/>
    <w:rsid w:val="00E74F6D"/>
    <w:rsid w:val="00E75128"/>
    <w:rsid w:val="00E75327"/>
    <w:rsid w:val="00E75439"/>
    <w:rsid w:val="00E7551D"/>
    <w:rsid w:val="00E75587"/>
    <w:rsid w:val="00E7558D"/>
    <w:rsid w:val="00E755DB"/>
    <w:rsid w:val="00E7571D"/>
    <w:rsid w:val="00E75740"/>
    <w:rsid w:val="00E75898"/>
    <w:rsid w:val="00E7591F"/>
    <w:rsid w:val="00E75C0C"/>
    <w:rsid w:val="00E75E7C"/>
    <w:rsid w:val="00E75EA4"/>
    <w:rsid w:val="00E75F81"/>
    <w:rsid w:val="00E76060"/>
    <w:rsid w:val="00E7617F"/>
    <w:rsid w:val="00E762D5"/>
    <w:rsid w:val="00E7636E"/>
    <w:rsid w:val="00E76656"/>
    <w:rsid w:val="00E7675A"/>
    <w:rsid w:val="00E767B5"/>
    <w:rsid w:val="00E76A41"/>
    <w:rsid w:val="00E76A69"/>
    <w:rsid w:val="00E76A91"/>
    <w:rsid w:val="00E76C07"/>
    <w:rsid w:val="00E76E56"/>
    <w:rsid w:val="00E76E74"/>
    <w:rsid w:val="00E76FFF"/>
    <w:rsid w:val="00E77195"/>
    <w:rsid w:val="00E771BC"/>
    <w:rsid w:val="00E77298"/>
    <w:rsid w:val="00E77402"/>
    <w:rsid w:val="00E7744C"/>
    <w:rsid w:val="00E775F2"/>
    <w:rsid w:val="00E7784C"/>
    <w:rsid w:val="00E77909"/>
    <w:rsid w:val="00E77BA4"/>
    <w:rsid w:val="00E77D69"/>
    <w:rsid w:val="00E77F13"/>
    <w:rsid w:val="00E77FC8"/>
    <w:rsid w:val="00E80452"/>
    <w:rsid w:val="00E805CC"/>
    <w:rsid w:val="00E806CF"/>
    <w:rsid w:val="00E80CC1"/>
    <w:rsid w:val="00E80D23"/>
    <w:rsid w:val="00E81007"/>
    <w:rsid w:val="00E81336"/>
    <w:rsid w:val="00E813D0"/>
    <w:rsid w:val="00E81497"/>
    <w:rsid w:val="00E81A4B"/>
    <w:rsid w:val="00E81B78"/>
    <w:rsid w:val="00E81C61"/>
    <w:rsid w:val="00E81E0F"/>
    <w:rsid w:val="00E8201F"/>
    <w:rsid w:val="00E822C2"/>
    <w:rsid w:val="00E82326"/>
    <w:rsid w:val="00E82340"/>
    <w:rsid w:val="00E82829"/>
    <w:rsid w:val="00E828B8"/>
    <w:rsid w:val="00E82B6D"/>
    <w:rsid w:val="00E82EBB"/>
    <w:rsid w:val="00E82EC0"/>
    <w:rsid w:val="00E83024"/>
    <w:rsid w:val="00E8302D"/>
    <w:rsid w:val="00E830FB"/>
    <w:rsid w:val="00E83242"/>
    <w:rsid w:val="00E8327F"/>
    <w:rsid w:val="00E83307"/>
    <w:rsid w:val="00E83451"/>
    <w:rsid w:val="00E83725"/>
    <w:rsid w:val="00E83794"/>
    <w:rsid w:val="00E83C54"/>
    <w:rsid w:val="00E841F4"/>
    <w:rsid w:val="00E8423A"/>
    <w:rsid w:val="00E842D1"/>
    <w:rsid w:val="00E8439F"/>
    <w:rsid w:val="00E843D6"/>
    <w:rsid w:val="00E848AB"/>
    <w:rsid w:val="00E84911"/>
    <w:rsid w:val="00E84A75"/>
    <w:rsid w:val="00E84C2C"/>
    <w:rsid w:val="00E84C36"/>
    <w:rsid w:val="00E84D6D"/>
    <w:rsid w:val="00E84E76"/>
    <w:rsid w:val="00E84EDB"/>
    <w:rsid w:val="00E84F0E"/>
    <w:rsid w:val="00E85036"/>
    <w:rsid w:val="00E85057"/>
    <w:rsid w:val="00E8538E"/>
    <w:rsid w:val="00E85478"/>
    <w:rsid w:val="00E85674"/>
    <w:rsid w:val="00E856E6"/>
    <w:rsid w:val="00E858D9"/>
    <w:rsid w:val="00E85928"/>
    <w:rsid w:val="00E85975"/>
    <w:rsid w:val="00E859FA"/>
    <w:rsid w:val="00E85A10"/>
    <w:rsid w:val="00E85AB6"/>
    <w:rsid w:val="00E85C4C"/>
    <w:rsid w:val="00E85D1C"/>
    <w:rsid w:val="00E85DFD"/>
    <w:rsid w:val="00E85EF0"/>
    <w:rsid w:val="00E86056"/>
    <w:rsid w:val="00E86105"/>
    <w:rsid w:val="00E86406"/>
    <w:rsid w:val="00E86413"/>
    <w:rsid w:val="00E864C2"/>
    <w:rsid w:val="00E864E1"/>
    <w:rsid w:val="00E866DF"/>
    <w:rsid w:val="00E868D8"/>
    <w:rsid w:val="00E869D1"/>
    <w:rsid w:val="00E86B4E"/>
    <w:rsid w:val="00E86BF5"/>
    <w:rsid w:val="00E86C37"/>
    <w:rsid w:val="00E86D8D"/>
    <w:rsid w:val="00E86D9F"/>
    <w:rsid w:val="00E86EF1"/>
    <w:rsid w:val="00E86F6C"/>
    <w:rsid w:val="00E86FE1"/>
    <w:rsid w:val="00E8704A"/>
    <w:rsid w:val="00E872C8"/>
    <w:rsid w:val="00E87331"/>
    <w:rsid w:val="00E873D0"/>
    <w:rsid w:val="00E877FA"/>
    <w:rsid w:val="00E878E6"/>
    <w:rsid w:val="00E878EA"/>
    <w:rsid w:val="00E87C0D"/>
    <w:rsid w:val="00E87D41"/>
    <w:rsid w:val="00E87E0C"/>
    <w:rsid w:val="00E9031E"/>
    <w:rsid w:val="00E90927"/>
    <w:rsid w:val="00E90B4F"/>
    <w:rsid w:val="00E90BA7"/>
    <w:rsid w:val="00E90EC7"/>
    <w:rsid w:val="00E90FA3"/>
    <w:rsid w:val="00E9108F"/>
    <w:rsid w:val="00E91459"/>
    <w:rsid w:val="00E9183A"/>
    <w:rsid w:val="00E918D9"/>
    <w:rsid w:val="00E91ACB"/>
    <w:rsid w:val="00E91F9E"/>
    <w:rsid w:val="00E9214C"/>
    <w:rsid w:val="00E92398"/>
    <w:rsid w:val="00E9239B"/>
    <w:rsid w:val="00E929A6"/>
    <w:rsid w:val="00E929B0"/>
    <w:rsid w:val="00E92B13"/>
    <w:rsid w:val="00E92CE1"/>
    <w:rsid w:val="00E92DE3"/>
    <w:rsid w:val="00E92DF1"/>
    <w:rsid w:val="00E92DF8"/>
    <w:rsid w:val="00E9365B"/>
    <w:rsid w:val="00E9372D"/>
    <w:rsid w:val="00E93A10"/>
    <w:rsid w:val="00E93AEB"/>
    <w:rsid w:val="00E93DE5"/>
    <w:rsid w:val="00E9407F"/>
    <w:rsid w:val="00E942DC"/>
    <w:rsid w:val="00E94532"/>
    <w:rsid w:val="00E94633"/>
    <w:rsid w:val="00E94831"/>
    <w:rsid w:val="00E94934"/>
    <w:rsid w:val="00E9493E"/>
    <w:rsid w:val="00E94BD9"/>
    <w:rsid w:val="00E94CA1"/>
    <w:rsid w:val="00E94DB3"/>
    <w:rsid w:val="00E94F78"/>
    <w:rsid w:val="00E94F8F"/>
    <w:rsid w:val="00E950B9"/>
    <w:rsid w:val="00E957FE"/>
    <w:rsid w:val="00E95A89"/>
    <w:rsid w:val="00E95CA3"/>
    <w:rsid w:val="00E95D88"/>
    <w:rsid w:val="00E9611B"/>
    <w:rsid w:val="00E96280"/>
    <w:rsid w:val="00E963C7"/>
    <w:rsid w:val="00E963D0"/>
    <w:rsid w:val="00E963F9"/>
    <w:rsid w:val="00E9641B"/>
    <w:rsid w:val="00E9646A"/>
    <w:rsid w:val="00E964D5"/>
    <w:rsid w:val="00E964ED"/>
    <w:rsid w:val="00E96813"/>
    <w:rsid w:val="00E96BF5"/>
    <w:rsid w:val="00E96C77"/>
    <w:rsid w:val="00E96CD3"/>
    <w:rsid w:val="00E96DAA"/>
    <w:rsid w:val="00E96FF9"/>
    <w:rsid w:val="00E97234"/>
    <w:rsid w:val="00E9723B"/>
    <w:rsid w:val="00E972EC"/>
    <w:rsid w:val="00E975CB"/>
    <w:rsid w:val="00E976A1"/>
    <w:rsid w:val="00E9796D"/>
    <w:rsid w:val="00E97A14"/>
    <w:rsid w:val="00E97A92"/>
    <w:rsid w:val="00E97ABB"/>
    <w:rsid w:val="00E97E2A"/>
    <w:rsid w:val="00E97F9D"/>
    <w:rsid w:val="00EA0022"/>
    <w:rsid w:val="00EA0136"/>
    <w:rsid w:val="00EA050D"/>
    <w:rsid w:val="00EA053D"/>
    <w:rsid w:val="00EA0935"/>
    <w:rsid w:val="00EA0A8E"/>
    <w:rsid w:val="00EA0D32"/>
    <w:rsid w:val="00EA0F2E"/>
    <w:rsid w:val="00EA10D8"/>
    <w:rsid w:val="00EA1279"/>
    <w:rsid w:val="00EA1620"/>
    <w:rsid w:val="00EA18E9"/>
    <w:rsid w:val="00EA1A10"/>
    <w:rsid w:val="00EA1A60"/>
    <w:rsid w:val="00EA1B8F"/>
    <w:rsid w:val="00EA1CAE"/>
    <w:rsid w:val="00EA1E90"/>
    <w:rsid w:val="00EA1F66"/>
    <w:rsid w:val="00EA2062"/>
    <w:rsid w:val="00EA223E"/>
    <w:rsid w:val="00EA239E"/>
    <w:rsid w:val="00EA25EF"/>
    <w:rsid w:val="00EA29D8"/>
    <w:rsid w:val="00EA2CE8"/>
    <w:rsid w:val="00EA2E2E"/>
    <w:rsid w:val="00EA303A"/>
    <w:rsid w:val="00EA32E4"/>
    <w:rsid w:val="00EA3422"/>
    <w:rsid w:val="00EA347C"/>
    <w:rsid w:val="00EA3583"/>
    <w:rsid w:val="00EA35E4"/>
    <w:rsid w:val="00EA3AEB"/>
    <w:rsid w:val="00EA3C66"/>
    <w:rsid w:val="00EA3F3D"/>
    <w:rsid w:val="00EA409B"/>
    <w:rsid w:val="00EA4197"/>
    <w:rsid w:val="00EA4410"/>
    <w:rsid w:val="00EA4599"/>
    <w:rsid w:val="00EA4631"/>
    <w:rsid w:val="00EA4889"/>
    <w:rsid w:val="00EA4ACB"/>
    <w:rsid w:val="00EA4B0F"/>
    <w:rsid w:val="00EA4BB3"/>
    <w:rsid w:val="00EA4C92"/>
    <w:rsid w:val="00EA4D5F"/>
    <w:rsid w:val="00EA4D75"/>
    <w:rsid w:val="00EA4E96"/>
    <w:rsid w:val="00EA5551"/>
    <w:rsid w:val="00EA55C8"/>
    <w:rsid w:val="00EA5935"/>
    <w:rsid w:val="00EA5991"/>
    <w:rsid w:val="00EA59C7"/>
    <w:rsid w:val="00EA5B71"/>
    <w:rsid w:val="00EA5E0E"/>
    <w:rsid w:val="00EA5EF1"/>
    <w:rsid w:val="00EA6044"/>
    <w:rsid w:val="00EA6136"/>
    <w:rsid w:val="00EA6173"/>
    <w:rsid w:val="00EA64FA"/>
    <w:rsid w:val="00EA6561"/>
    <w:rsid w:val="00EA6679"/>
    <w:rsid w:val="00EA6693"/>
    <w:rsid w:val="00EA6794"/>
    <w:rsid w:val="00EA6870"/>
    <w:rsid w:val="00EA68D3"/>
    <w:rsid w:val="00EA6940"/>
    <w:rsid w:val="00EA6A53"/>
    <w:rsid w:val="00EA6AA0"/>
    <w:rsid w:val="00EA6C3E"/>
    <w:rsid w:val="00EA6C86"/>
    <w:rsid w:val="00EA6EA8"/>
    <w:rsid w:val="00EA6FC4"/>
    <w:rsid w:val="00EA731C"/>
    <w:rsid w:val="00EA733D"/>
    <w:rsid w:val="00EA737F"/>
    <w:rsid w:val="00EA74B6"/>
    <w:rsid w:val="00EA79A9"/>
    <w:rsid w:val="00EA7C23"/>
    <w:rsid w:val="00EA7E71"/>
    <w:rsid w:val="00EA7F25"/>
    <w:rsid w:val="00EA7F7D"/>
    <w:rsid w:val="00EB0152"/>
    <w:rsid w:val="00EB0933"/>
    <w:rsid w:val="00EB0A21"/>
    <w:rsid w:val="00EB0AE0"/>
    <w:rsid w:val="00EB0B97"/>
    <w:rsid w:val="00EB0B9B"/>
    <w:rsid w:val="00EB0C91"/>
    <w:rsid w:val="00EB0C9E"/>
    <w:rsid w:val="00EB0D6B"/>
    <w:rsid w:val="00EB0F41"/>
    <w:rsid w:val="00EB1022"/>
    <w:rsid w:val="00EB1266"/>
    <w:rsid w:val="00EB132D"/>
    <w:rsid w:val="00EB1365"/>
    <w:rsid w:val="00EB137A"/>
    <w:rsid w:val="00EB1533"/>
    <w:rsid w:val="00EB1C84"/>
    <w:rsid w:val="00EB1DC6"/>
    <w:rsid w:val="00EB2014"/>
    <w:rsid w:val="00EB2062"/>
    <w:rsid w:val="00EB20C2"/>
    <w:rsid w:val="00EB28ED"/>
    <w:rsid w:val="00EB297C"/>
    <w:rsid w:val="00EB2B64"/>
    <w:rsid w:val="00EB2BF1"/>
    <w:rsid w:val="00EB3083"/>
    <w:rsid w:val="00EB31C1"/>
    <w:rsid w:val="00EB3441"/>
    <w:rsid w:val="00EB34AD"/>
    <w:rsid w:val="00EB34E1"/>
    <w:rsid w:val="00EB3805"/>
    <w:rsid w:val="00EB3A2D"/>
    <w:rsid w:val="00EB3BF3"/>
    <w:rsid w:val="00EB3D23"/>
    <w:rsid w:val="00EB3D63"/>
    <w:rsid w:val="00EB3E4B"/>
    <w:rsid w:val="00EB400B"/>
    <w:rsid w:val="00EB41AB"/>
    <w:rsid w:val="00EB41D5"/>
    <w:rsid w:val="00EB43E7"/>
    <w:rsid w:val="00EB44F0"/>
    <w:rsid w:val="00EB4739"/>
    <w:rsid w:val="00EB4B07"/>
    <w:rsid w:val="00EB4DCB"/>
    <w:rsid w:val="00EB4E65"/>
    <w:rsid w:val="00EB4E9E"/>
    <w:rsid w:val="00EB53C3"/>
    <w:rsid w:val="00EB5619"/>
    <w:rsid w:val="00EB5792"/>
    <w:rsid w:val="00EB5A16"/>
    <w:rsid w:val="00EB5C2F"/>
    <w:rsid w:val="00EB5E78"/>
    <w:rsid w:val="00EB5E9B"/>
    <w:rsid w:val="00EB6022"/>
    <w:rsid w:val="00EB657F"/>
    <w:rsid w:val="00EB6812"/>
    <w:rsid w:val="00EB6AF6"/>
    <w:rsid w:val="00EB6CC1"/>
    <w:rsid w:val="00EB6E66"/>
    <w:rsid w:val="00EB6E83"/>
    <w:rsid w:val="00EB70F5"/>
    <w:rsid w:val="00EB741D"/>
    <w:rsid w:val="00EB742D"/>
    <w:rsid w:val="00EB764B"/>
    <w:rsid w:val="00EB7734"/>
    <w:rsid w:val="00EB7904"/>
    <w:rsid w:val="00EB794C"/>
    <w:rsid w:val="00EB79DA"/>
    <w:rsid w:val="00EB7B29"/>
    <w:rsid w:val="00EB7C46"/>
    <w:rsid w:val="00EB7E53"/>
    <w:rsid w:val="00EB7EC9"/>
    <w:rsid w:val="00EB7F55"/>
    <w:rsid w:val="00EB7F89"/>
    <w:rsid w:val="00EC02B9"/>
    <w:rsid w:val="00EC0320"/>
    <w:rsid w:val="00EC0382"/>
    <w:rsid w:val="00EC042E"/>
    <w:rsid w:val="00EC04B3"/>
    <w:rsid w:val="00EC068C"/>
    <w:rsid w:val="00EC0A04"/>
    <w:rsid w:val="00EC0B70"/>
    <w:rsid w:val="00EC0BF6"/>
    <w:rsid w:val="00EC0C00"/>
    <w:rsid w:val="00EC0F68"/>
    <w:rsid w:val="00EC13B1"/>
    <w:rsid w:val="00EC1693"/>
    <w:rsid w:val="00EC16C4"/>
    <w:rsid w:val="00EC16E9"/>
    <w:rsid w:val="00EC1EE8"/>
    <w:rsid w:val="00EC2159"/>
    <w:rsid w:val="00EC2219"/>
    <w:rsid w:val="00EC22DA"/>
    <w:rsid w:val="00EC23DE"/>
    <w:rsid w:val="00EC247B"/>
    <w:rsid w:val="00EC28E3"/>
    <w:rsid w:val="00EC2AD1"/>
    <w:rsid w:val="00EC2CC0"/>
    <w:rsid w:val="00EC2D40"/>
    <w:rsid w:val="00EC3160"/>
    <w:rsid w:val="00EC337B"/>
    <w:rsid w:val="00EC35E7"/>
    <w:rsid w:val="00EC3647"/>
    <w:rsid w:val="00EC37B3"/>
    <w:rsid w:val="00EC38E6"/>
    <w:rsid w:val="00EC3A8D"/>
    <w:rsid w:val="00EC3E94"/>
    <w:rsid w:val="00EC3F55"/>
    <w:rsid w:val="00EC40CE"/>
    <w:rsid w:val="00EC4147"/>
    <w:rsid w:val="00EC439D"/>
    <w:rsid w:val="00EC4560"/>
    <w:rsid w:val="00EC4579"/>
    <w:rsid w:val="00EC45D2"/>
    <w:rsid w:val="00EC4657"/>
    <w:rsid w:val="00EC468D"/>
    <w:rsid w:val="00EC472D"/>
    <w:rsid w:val="00EC4C03"/>
    <w:rsid w:val="00EC4C11"/>
    <w:rsid w:val="00EC4D5D"/>
    <w:rsid w:val="00EC4DB3"/>
    <w:rsid w:val="00EC4EEC"/>
    <w:rsid w:val="00EC5000"/>
    <w:rsid w:val="00EC55F7"/>
    <w:rsid w:val="00EC5625"/>
    <w:rsid w:val="00EC56B4"/>
    <w:rsid w:val="00EC57E8"/>
    <w:rsid w:val="00EC58E6"/>
    <w:rsid w:val="00EC5DA6"/>
    <w:rsid w:val="00EC5DDD"/>
    <w:rsid w:val="00EC606F"/>
    <w:rsid w:val="00EC6092"/>
    <w:rsid w:val="00EC63A9"/>
    <w:rsid w:val="00EC65C6"/>
    <w:rsid w:val="00EC670C"/>
    <w:rsid w:val="00EC6A43"/>
    <w:rsid w:val="00EC6A48"/>
    <w:rsid w:val="00EC708B"/>
    <w:rsid w:val="00EC7123"/>
    <w:rsid w:val="00EC712F"/>
    <w:rsid w:val="00EC736F"/>
    <w:rsid w:val="00EC7421"/>
    <w:rsid w:val="00EC74AD"/>
    <w:rsid w:val="00EC7622"/>
    <w:rsid w:val="00EC763C"/>
    <w:rsid w:val="00EC768B"/>
    <w:rsid w:val="00EC7740"/>
    <w:rsid w:val="00EC776E"/>
    <w:rsid w:val="00EC7A93"/>
    <w:rsid w:val="00EC7AA0"/>
    <w:rsid w:val="00EC7E74"/>
    <w:rsid w:val="00EC7F41"/>
    <w:rsid w:val="00EC7F8F"/>
    <w:rsid w:val="00ED01A4"/>
    <w:rsid w:val="00ED01AF"/>
    <w:rsid w:val="00ED01D3"/>
    <w:rsid w:val="00ED0461"/>
    <w:rsid w:val="00ED048B"/>
    <w:rsid w:val="00ED04A3"/>
    <w:rsid w:val="00ED0570"/>
    <w:rsid w:val="00ED07AA"/>
    <w:rsid w:val="00ED07D3"/>
    <w:rsid w:val="00ED0D50"/>
    <w:rsid w:val="00ED0E3C"/>
    <w:rsid w:val="00ED0E65"/>
    <w:rsid w:val="00ED0F58"/>
    <w:rsid w:val="00ED121B"/>
    <w:rsid w:val="00ED12D2"/>
    <w:rsid w:val="00ED1312"/>
    <w:rsid w:val="00ED131E"/>
    <w:rsid w:val="00ED1386"/>
    <w:rsid w:val="00ED13A0"/>
    <w:rsid w:val="00ED13E9"/>
    <w:rsid w:val="00ED142F"/>
    <w:rsid w:val="00ED15A8"/>
    <w:rsid w:val="00ED1809"/>
    <w:rsid w:val="00ED19BC"/>
    <w:rsid w:val="00ED1B46"/>
    <w:rsid w:val="00ED1C0F"/>
    <w:rsid w:val="00ED1CA9"/>
    <w:rsid w:val="00ED1D0D"/>
    <w:rsid w:val="00ED1F37"/>
    <w:rsid w:val="00ED2764"/>
    <w:rsid w:val="00ED286F"/>
    <w:rsid w:val="00ED2926"/>
    <w:rsid w:val="00ED29F0"/>
    <w:rsid w:val="00ED2B57"/>
    <w:rsid w:val="00ED2B5B"/>
    <w:rsid w:val="00ED2B5C"/>
    <w:rsid w:val="00ED2C25"/>
    <w:rsid w:val="00ED2D66"/>
    <w:rsid w:val="00ED2D76"/>
    <w:rsid w:val="00ED2EA7"/>
    <w:rsid w:val="00ED2FC6"/>
    <w:rsid w:val="00ED2FDD"/>
    <w:rsid w:val="00ED31D2"/>
    <w:rsid w:val="00ED33A1"/>
    <w:rsid w:val="00ED33E8"/>
    <w:rsid w:val="00ED3453"/>
    <w:rsid w:val="00ED36B8"/>
    <w:rsid w:val="00ED3728"/>
    <w:rsid w:val="00ED38A0"/>
    <w:rsid w:val="00ED3A26"/>
    <w:rsid w:val="00ED3ABC"/>
    <w:rsid w:val="00ED3C2B"/>
    <w:rsid w:val="00ED47E2"/>
    <w:rsid w:val="00ED495D"/>
    <w:rsid w:val="00ED4987"/>
    <w:rsid w:val="00ED499A"/>
    <w:rsid w:val="00ED4D6E"/>
    <w:rsid w:val="00ED50FC"/>
    <w:rsid w:val="00ED5181"/>
    <w:rsid w:val="00ED52ED"/>
    <w:rsid w:val="00ED5387"/>
    <w:rsid w:val="00ED575B"/>
    <w:rsid w:val="00ED585A"/>
    <w:rsid w:val="00ED5E07"/>
    <w:rsid w:val="00ED6139"/>
    <w:rsid w:val="00ED62BE"/>
    <w:rsid w:val="00ED699B"/>
    <w:rsid w:val="00ED6B6D"/>
    <w:rsid w:val="00ED6CDD"/>
    <w:rsid w:val="00ED70E9"/>
    <w:rsid w:val="00ED720F"/>
    <w:rsid w:val="00ED7225"/>
    <w:rsid w:val="00ED72D9"/>
    <w:rsid w:val="00ED748C"/>
    <w:rsid w:val="00ED7588"/>
    <w:rsid w:val="00ED773A"/>
    <w:rsid w:val="00ED79F3"/>
    <w:rsid w:val="00ED7B9A"/>
    <w:rsid w:val="00ED7D33"/>
    <w:rsid w:val="00ED7D7E"/>
    <w:rsid w:val="00ED7EE8"/>
    <w:rsid w:val="00ED7F29"/>
    <w:rsid w:val="00ED7FC6"/>
    <w:rsid w:val="00EE025B"/>
    <w:rsid w:val="00EE0501"/>
    <w:rsid w:val="00EE069E"/>
    <w:rsid w:val="00EE09E8"/>
    <w:rsid w:val="00EE0A22"/>
    <w:rsid w:val="00EE0AC7"/>
    <w:rsid w:val="00EE0AC8"/>
    <w:rsid w:val="00EE0AF5"/>
    <w:rsid w:val="00EE0DA4"/>
    <w:rsid w:val="00EE15A0"/>
    <w:rsid w:val="00EE169E"/>
    <w:rsid w:val="00EE17AD"/>
    <w:rsid w:val="00EE190F"/>
    <w:rsid w:val="00EE1AE4"/>
    <w:rsid w:val="00EE1EA7"/>
    <w:rsid w:val="00EE20F4"/>
    <w:rsid w:val="00EE21C0"/>
    <w:rsid w:val="00EE23D7"/>
    <w:rsid w:val="00EE27D2"/>
    <w:rsid w:val="00EE27FB"/>
    <w:rsid w:val="00EE293A"/>
    <w:rsid w:val="00EE2A71"/>
    <w:rsid w:val="00EE2D26"/>
    <w:rsid w:val="00EE2D3C"/>
    <w:rsid w:val="00EE2E51"/>
    <w:rsid w:val="00EE2F20"/>
    <w:rsid w:val="00EE325C"/>
    <w:rsid w:val="00EE32DB"/>
    <w:rsid w:val="00EE339E"/>
    <w:rsid w:val="00EE359E"/>
    <w:rsid w:val="00EE35FF"/>
    <w:rsid w:val="00EE3865"/>
    <w:rsid w:val="00EE387F"/>
    <w:rsid w:val="00EE3929"/>
    <w:rsid w:val="00EE39E2"/>
    <w:rsid w:val="00EE3DB3"/>
    <w:rsid w:val="00EE3E36"/>
    <w:rsid w:val="00EE3F1C"/>
    <w:rsid w:val="00EE40AB"/>
    <w:rsid w:val="00EE4168"/>
    <w:rsid w:val="00EE42F6"/>
    <w:rsid w:val="00EE4334"/>
    <w:rsid w:val="00EE4A3C"/>
    <w:rsid w:val="00EE4AD4"/>
    <w:rsid w:val="00EE4AD9"/>
    <w:rsid w:val="00EE4DA6"/>
    <w:rsid w:val="00EE4FE9"/>
    <w:rsid w:val="00EE5521"/>
    <w:rsid w:val="00EE5532"/>
    <w:rsid w:val="00EE5A5A"/>
    <w:rsid w:val="00EE5B72"/>
    <w:rsid w:val="00EE5DA4"/>
    <w:rsid w:val="00EE5E53"/>
    <w:rsid w:val="00EE5F77"/>
    <w:rsid w:val="00EE60BD"/>
    <w:rsid w:val="00EE672C"/>
    <w:rsid w:val="00EE6A0C"/>
    <w:rsid w:val="00EE6B2F"/>
    <w:rsid w:val="00EE6B78"/>
    <w:rsid w:val="00EE6B8D"/>
    <w:rsid w:val="00EE6D59"/>
    <w:rsid w:val="00EE6E5C"/>
    <w:rsid w:val="00EE6E5D"/>
    <w:rsid w:val="00EE6F8D"/>
    <w:rsid w:val="00EE7125"/>
    <w:rsid w:val="00EE745E"/>
    <w:rsid w:val="00EE7930"/>
    <w:rsid w:val="00EE7B0A"/>
    <w:rsid w:val="00EE7B75"/>
    <w:rsid w:val="00EE7C24"/>
    <w:rsid w:val="00EE7EFB"/>
    <w:rsid w:val="00EE7FA5"/>
    <w:rsid w:val="00EE7FFA"/>
    <w:rsid w:val="00EF01D1"/>
    <w:rsid w:val="00EF022A"/>
    <w:rsid w:val="00EF025D"/>
    <w:rsid w:val="00EF0420"/>
    <w:rsid w:val="00EF067C"/>
    <w:rsid w:val="00EF0824"/>
    <w:rsid w:val="00EF0868"/>
    <w:rsid w:val="00EF0983"/>
    <w:rsid w:val="00EF115C"/>
    <w:rsid w:val="00EF119F"/>
    <w:rsid w:val="00EF11AC"/>
    <w:rsid w:val="00EF1256"/>
    <w:rsid w:val="00EF1476"/>
    <w:rsid w:val="00EF14C3"/>
    <w:rsid w:val="00EF1779"/>
    <w:rsid w:val="00EF1A64"/>
    <w:rsid w:val="00EF1E65"/>
    <w:rsid w:val="00EF205C"/>
    <w:rsid w:val="00EF2138"/>
    <w:rsid w:val="00EF237D"/>
    <w:rsid w:val="00EF2A7C"/>
    <w:rsid w:val="00EF2C62"/>
    <w:rsid w:val="00EF2D02"/>
    <w:rsid w:val="00EF2D50"/>
    <w:rsid w:val="00EF2D74"/>
    <w:rsid w:val="00EF2F4D"/>
    <w:rsid w:val="00EF2F5A"/>
    <w:rsid w:val="00EF3451"/>
    <w:rsid w:val="00EF350E"/>
    <w:rsid w:val="00EF3B97"/>
    <w:rsid w:val="00EF3BD9"/>
    <w:rsid w:val="00EF3C96"/>
    <w:rsid w:val="00EF3E21"/>
    <w:rsid w:val="00EF4170"/>
    <w:rsid w:val="00EF4203"/>
    <w:rsid w:val="00EF45C1"/>
    <w:rsid w:val="00EF45F3"/>
    <w:rsid w:val="00EF4697"/>
    <w:rsid w:val="00EF46B0"/>
    <w:rsid w:val="00EF4822"/>
    <w:rsid w:val="00EF48AD"/>
    <w:rsid w:val="00EF4AA1"/>
    <w:rsid w:val="00EF4B71"/>
    <w:rsid w:val="00EF4D66"/>
    <w:rsid w:val="00EF4DA3"/>
    <w:rsid w:val="00EF4E1A"/>
    <w:rsid w:val="00EF4E7E"/>
    <w:rsid w:val="00EF4ECB"/>
    <w:rsid w:val="00EF4ED4"/>
    <w:rsid w:val="00EF51D4"/>
    <w:rsid w:val="00EF525E"/>
    <w:rsid w:val="00EF5285"/>
    <w:rsid w:val="00EF52DF"/>
    <w:rsid w:val="00EF5755"/>
    <w:rsid w:val="00EF5796"/>
    <w:rsid w:val="00EF5A66"/>
    <w:rsid w:val="00EF5BB7"/>
    <w:rsid w:val="00EF5E37"/>
    <w:rsid w:val="00EF5EF3"/>
    <w:rsid w:val="00EF62E7"/>
    <w:rsid w:val="00EF6429"/>
    <w:rsid w:val="00EF644E"/>
    <w:rsid w:val="00EF6539"/>
    <w:rsid w:val="00EF66CD"/>
    <w:rsid w:val="00EF6968"/>
    <w:rsid w:val="00EF69B8"/>
    <w:rsid w:val="00EF69FE"/>
    <w:rsid w:val="00EF6B46"/>
    <w:rsid w:val="00EF704C"/>
    <w:rsid w:val="00EF713A"/>
    <w:rsid w:val="00EF7140"/>
    <w:rsid w:val="00EF732E"/>
    <w:rsid w:val="00EF73F8"/>
    <w:rsid w:val="00EF7402"/>
    <w:rsid w:val="00EF74A8"/>
    <w:rsid w:val="00EF76B2"/>
    <w:rsid w:val="00EF7DBA"/>
    <w:rsid w:val="00EF7F01"/>
    <w:rsid w:val="00F000D2"/>
    <w:rsid w:val="00F000E8"/>
    <w:rsid w:val="00F003D1"/>
    <w:rsid w:val="00F0040E"/>
    <w:rsid w:val="00F00604"/>
    <w:rsid w:val="00F007BA"/>
    <w:rsid w:val="00F00BAD"/>
    <w:rsid w:val="00F00CC4"/>
    <w:rsid w:val="00F00D08"/>
    <w:rsid w:val="00F00E0A"/>
    <w:rsid w:val="00F00F05"/>
    <w:rsid w:val="00F0101A"/>
    <w:rsid w:val="00F010F9"/>
    <w:rsid w:val="00F0131E"/>
    <w:rsid w:val="00F0143D"/>
    <w:rsid w:val="00F0168D"/>
    <w:rsid w:val="00F0169D"/>
    <w:rsid w:val="00F0184A"/>
    <w:rsid w:val="00F018F3"/>
    <w:rsid w:val="00F01980"/>
    <w:rsid w:val="00F01AB9"/>
    <w:rsid w:val="00F01C62"/>
    <w:rsid w:val="00F02263"/>
    <w:rsid w:val="00F02491"/>
    <w:rsid w:val="00F028FB"/>
    <w:rsid w:val="00F02C50"/>
    <w:rsid w:val="00F02C6B"/>
    <w:rsid w:val="00F02DC0"/>
    <w:rsid w:val="00F02E83"/>
    <w:rsid w:val="00F02ECF"/>
    <w:rsid w:val="00F02F60"/>
    <w:rsid w:val="00F02FCB"/>
    <w:rsid w:val="00F0303E"/>
    <w:rsid w:val="00F03617"/>
    <w:rsid w:val="00F03746"/>
    <w:rsid w:val="00F03AA3"/>
    <w:rsid w:val="00F03AC3"/>
    <w:rsid w:val="00F03D2E"/>
    <w:rsid w:val="00F03DCA"/>
    <w:rsid w:val="00F041DF"/>
    <w:rsid w:val="00F04235"/>
    <w:rsid w:val="00F042C9"/>
    <w:rsid w:val="00F0433A"/>
    <w:rsid w:val="00F04426"/>
    <w:rsid w:val="00F044CC"/>
    <w:rsid w:val="00F04570"/>
    <w:rsid w:val="00F047C7"/>
    <w:rsid w:val="00F0489D"/>
    <w:rsid w:val="00F04C04"/>
    <w:rsid w:val="00F04D27"/>
    <w:rsid w:val="00F04E11"/>
    <w:rsid w:val="00F04E3D"/>
    <w:rsid w:val="00F04F41"/>
    <w:rsid w:val="00F0510F"/>
    <w:rsid w:val="00F051B3"/>
    <w:rsid w:val="00F05243"/>
    <w:rsid w:val="00F054D5"/>
    <w:rsid w:val="00F055AC"/>
    <w:rsid w:val="00F058AB"/>
    <w:rsid w:val="00F05D89"/>
    <w:rsid w:val="00F05E44"/>
    <w:rsid w:val="00F06272"/>
    <w:rsid w:val="00F062B8"/>
    <w:rsid w:val="00F064D9"/>
    <w:rsid w:val="00F065F6"/>
    <w:rsid w:val="00F0687F"/>
    <w:rsid w:val="00F06926"/>
    <w:rsid w:val="00F069BB"/>
    <w:rsid w:val="00F06B68"/>
    <w:rsid w:val="00F06CE2"/>
    <w:rsid w:val="00F07012"/>
    <w:rsid w:val="00F07253"/>
    <w:rsid w:val="00F07384"/>
    <w:rsid w:val="00F074E0"/>
    <w:rsid w:val="00F077E8"/>
    <w:rsid w:val="00F07813"/>
    <w:rsid w:val="00F078B1"/>
    <w:rsid w:val="00F078F6"/>
    <w:rsid w:val="00F07A09"/>
    <w:rsid w:val="00F07BC4"/>
    <w:rsid w:val="00F07C88"/>
    <w:rsid w:val="00F07CF3"/>
    <w:rsid w:val="00F07E51"/>
    <w:rsid w:val="00F1000C"/>
    <w:rsid w:val="00F10098"/>
    <w:rsid w:val="00F100CC"/>
    <w:rsid w:val="00F1012E"/>
    <w:rsid w:val="00F1027E"/>
    <w:rsid w:val="00F103A2"/>
    <w:rsid w:val="00F103EC"/>
    <w:rsid w:val="00F10426"/>
    <w:rsid w:val="00F10549"/>
    <w:rsid w:val="00F105FD"/>
    <w:rsid w:val="00F108B3"/>
    <w:rsid w:val="00F10900"/>
    <w:rsid w:val="00F10AE7"/>
    <w:rsid w:val="00F10C07"/>
    <w:rsid w:val="00F10D6F"/>
    <w:rsid w:val="00F10DB2"/>
    <w:rsid w:val="00F10F56"/>
    <w:rsid w:val="00F10F5B"/>
    <w:rsid w:val="00F11069"/>
    <w:rsid w:val="00F110EC"/>
    <w:rsid w:val="00F110F4"/>
    <w:rsid w:val="00F11335"/>
    <w:rsid w:val="00F113BA"/>
    <w:rsid w:val="00F113E5"/>
    <w:rsid w:val="00F114C2"/>
    <w:rsid w:val="00F1160A"/>
    <w:rsid w:val="00F116AB"/>
    <w:rsid w:val="00F11A2B"/>
    <w:rsid w:val="00F11A90"/>
    <w:rsid w:val="00F11B01"/>
    <w:rsid w:val="00F11EA9"/>
    <w:rsid w:val="00F11F0B"/>
    <w:rsid w:val="00F1216E"/>
    <w:rsid w:val="00F122D8"/>
    <w:rsid w:val="00F12715"/>
    <w:rsid w:val="00F12884"/>
    <w:rsid w:val="00F12AF2"/>
    <w:rsid w:val="00F12E2E"/>
    <w:rsid w:val="00F12EA0"/>
    <w:rsid w:val="00F13025"/>
    <w:rsid w:val="00F13208"/>
    <w:rsid w:val="00F134EB"/>
    <w:rsid w:val="00F1353E"/>
    <w:rsid w:val="00F13B58"/>
    <w:rsid w:val="00F13C64"/>
    <w:rsid w:val="00F13D49"/>
    <w:rsid w:val="00F14124"/>
    <w:rsid w:val="00F14347"/>
    <w:rsid w:val="00F14428"/>
    <w:rsid w:val="00F145E6"/>
    <w:rsid w:val="00F14649"/>
    <w:rsid w:val="00F149C5"/>
    <w:rsid w:val="00F14B70"/>
    <w:rsid w:val="00F151A2"/>
    <w:rsid w:val="00F15251"/>
    <w:rsid w:val="00F152B6"/>
    <w:rsid w:val="00F152EB"/>
    <w:rsid w:val="00F153AB"/>
    <w:rsid w:val="00F1593E"/>
    <w:rsid w:val="00F15BFA"/>
    <w:rsid w:val="00F15F8C"/>
    <w:rsid w:val="00F160E4"/>
    <w:rsid w:val="00F165B2"/>
    <w:rsid w:val="00F165E8"/>
    <w:rsid w:val="00F16732"/>
    <w:rsid w:val="00F16734"/>
    <w:rsid w:val="00F168CA"/>
    <w:rsid w:val="00F16A8D"/>
    <w:rsid w:val="00F16D85"/>
    <w:rsid w:val="00F16E8D"/>
    <w:rsid w:val="00F1744B"/>
    <w:rsid w:val="00F17507"/>
    <w:rsid w:val="00F17532"/>
    <w:rsid w:val="00F17725"/>
    <w:rsid w:val="00F177E7"/>
    <w:rsid w:val="00F17EA8"/>
    <w:rsid w:val="00F20123"/>
    <w:rsid w:val="00F2014A"/>
    <w:rsid w:val="00F20180"/>
    <w:rsid w:val="00F20207"/>
    <w:rsid w:val="00F20403"/>
    <w:rsid w:val="00F205CF"/>
    <w:rsid w:val="00F206B1"/>
    <w:rsid w:val="00F206C7"/>
    <w:rsid w:val="00F2089B"/>
    <w:rsid w:val="00F2092F"/>
    <w:rsid w:val="00F211B0"/>
    <w:rsid w:val="00F2129B"/>
    <w:rsid w:val="00F213DD"/>
    <w:rsid w:val="00F21587"/>
    <w:rsid w:val="00F215C6"/>
    <w:rsid w:val="00F2171C"/>
    <w:rsid w:val="00F21869"/>
    <w:rsid w:val="00F21A97"/>
    <w:rsid w:val="00F21A9E"/>
    <w:rsid w:val="00F21B4F"/>
    <w:rsid w:val="00F21BC0"/>
    <w:rsid w:val="00F21C51"/>
    <w:rsid w:val="00F21E4F"/>
    <w:rsid w:val="00F21E92"/>
    <w:rsid w:val="00F21F62"/>
    <w:rsid w:val="00F21F87"/>
    <w:rsid w:val="00F22086"/>
    <w:rsid w:val="00F22341"/>
    <w:rsid w:val="00F2237C"/>
    <w:rsid w:val="00F223AF"/>
    <w:rsid w:val="00F22707"/>
    <w:rsid w:val="00F228D7"/>
    <w:rsid w:val="00F2298E"/>
    <w:rsid w:val="00F22E7B"/>
    <w:rsid w:val="00F22F0F"/>
    <w:rsid w:val="00F22F6C"/>
    <w:rsid w:val="00F22F7D"/>
    <w:rsid w:val="00F230AC"/>
    <w:rsid w:val="00F231AC"/>
    <w:rsid w:val="00F23235"/>
    <w:rsid w:val="00F23276"/>
    <w:rsid w:val="00F232E7"/>
    <w:rsid w:val="00F2333F"/>
    <w:rsid w:val="00F233E5"/>
    <w:rsid w:val="00F23634"/>
    <w:rsid w:val="00F23801"/>
    <w:rsid w:val="00F2381D"/>
    <w:rsid w:val="00F23DF5"/>
    <w:rsid w:val="00F241A0"/>
    <w:rsid w:val="00F241FF"/>
    <w:rsid w:val="00F24239"/>
    <w:rsid w:val="00F243E4"/>
    <w:rsid w:val="00F2474E"/>
    <w:rsid w:val="00F247E0"/>
    <w:rsid w:val="00F247E8"/>
    <w:rsid w:val="00F247F1"/>
    <w:rsid w:val="00F247F9"/>
    <w:rsid w:val="00F24916"/>
    <w:rsid w:val="00F2531A"/>
    <w:rsid w:val="00F25365"/>
    <w:rsid w:val="00F2540F"/>
    <w:rsid w:val="00F2567B"/>
    <w:rsid w:val="00F25B22"/>
    <w:rsid w:val="00F25C5E"/>
    <w:rsid w:val="00F2615A"/>
    <w:rsid w:val="00F264DA"/>
    <w:rsid w:val="00F2663B"/>
    <w:rsid w:val="00F26828"/>
    <w:rsid w:val="00F268B7"/>
    <w:rsid w:val="00F2698A"/>
    <w:rsid w:val="00F26B25"/>
    <w:rsid w:val="00F26F7B"/>
    <w:rsid w:val="00F271A5"/>
    <w:rsid w:val="00F27393"/>
    <w:rsid w:val="00F27980"/>
    <w:rsid w:val="00F27EA1"/>
    <w:rsid w:val="00F27F14"/>
    <w:rsid w:val="00F3028E"/>
    <w:rsid w:val="00F3032B"/>
    <w:rsid w:val="00F3038F"/>
    <w:rsid w:val="00F3041F"/>
    <w:rsid w:val="00F30573"/>
    <w:rsid w:val="00F3080F"/>
    <w:rsid w:val="00F30839"/>
    <w:rsid w:val="00F308F8"/>
    <w:rsid w:val="00F309C7"/>
    <w:rsid w:val="00F309C9"/>
    <w:rsid w:val="00F30E97"/>
    <w:rsid w:val="00F31091"/>
    <w:rsid w:val="00F31215"/>
    <w:rsid w:val="00F312B5"/>
    <w:rsid w:val="00F31614"/>
    <w:rsid w:val="00F3165D"/>
    <w:rsid w:val="00F317DB"/>
    <w:rsid w:val="00F318C0"/>
    <w:rsid w:val="00F31A38"/>
    <w:rsid w:val="00F31A6A"/>
    <w:rsid w:val="00F31E3F"/>
    <w:rsid w:val="00F320A4"/>
    <w:rsid w:val="00F321DF"/>
    <w:rsid w:val="00F322F0"/>
    <w:rsid w:val="00F32796"/>
    <w:rsid w:val="00F327D0"/>
    <w:rsid w:val="00F32A02"/>
    <w:rsid w:val="00F32BB0"/>
    <w:rsid w:val="00F32BD4"/>
    <w:rsid w:val="00F32EA6"/>
    <w:rsid w:val="00F32FB3"/>
    <w:rsid w:val="00F33029"/>
    <w:rsid w:val="00F33070"/>
    <w:rsid w:val="00F331A3"/>
    <w:rsid w:val="00F334E0"/>
    <w:rsid w:val="00F336D6"/>
    <w:rsid w:val="00F33859"/>
    <w:rsid w:val="00F33904"/>
    <w:rsid w:val="00F33A1A"/>
    <w:rsid w:val="00F33A47"/>
    <w:rsid w:val="00F33CFF"/>
    <w:rsid w:val="00F33D1B"/>
    <w:rsid w:val="00F33D89"/>
    <w:rsid w:val="00F33E38"/>
    <w:rsid w:val="00F33E7C"/>
    <w:rsid w:val="00F3420B"/>
    <w:rsid w:val="00F344B5"/>
    <w:rsid w:val="00F34605"/>
    <w:rsid w:val="00F34670"/>
    <w:rsid w:val="00F34C22"/>
    <w:rsid w:val="00F34D63"/>
    <w:rsid w:val="00F34D7B"/>
    <w:rsid w:val="00F34F75"/>
    <w:rsid w:val="00F35071"/>
    <w:rsid w:val="00F35104"/>
    <w:rsid w:val="00F35267"/>
    <w:rsid w:val="00F352CF"/>
    <w:rsid w:val="00F357E2"/>
    <w:rsid w:val="00F35999"/>
    <w:rsid w:val="00F35A36"/>
    <w:rsid w:val="00F35B4A"/>
    <w:rsid w:val="00F35C97"/>
    <w:rsid w:val="00F35DEC"/>
    <w:rsid w:val="00F35F16"/>
    <w:rsid w:val="00F35FF1"/>
    <w:rsid w:val="00F36191"/>
    <w:rsid w:val="00F362C5"/>
    <w:rsid w:val="00F3644D"/>
    <w:rsid w:val="00F364D5"/>
    <w:rsid w:val="00F365AB"/>
    <w:rsid w:val="00F3661E"/>
    <w:rsid w:val="00F366F3"/>
    <w:rsid w:val="00F36998"/>
    <w:rsid w:val="00F369B9"/>
    <w:rsid w:val="00F369C3"/>
    <w:rsid w:val="00F36D49"/>
    <w:rsid w:val="00F370CC"/>
    <w:rsid w:val="00F37171"/>
    <w:rsid w:val="00F371F5"/>
    <w:rsid w:val="00F37271"/>
    <w:rsid w:val="00F374A3"/>
    <w:rsid w:val="00F375F7"/>
    <w:rsid w:val="00F3782E"/>
    <w:rsid w:val="00F37B35"/>
    <w:rsid w:val="00F37BED"/>
    <w:rsid w:val="00F4048D"/>
    <w:rsid w:val="00F4075E"/>
    <w:rsid w:val="00F40E32"/>
    <w:rsid w:val="00F40F76"/>
    <w:rsid w:val="00F40FF9"/>
    <w:rsid w:val="00F4103E"/>
    <w:rsid w:val="00F4123C"/>
    <w:rsid w:val="00F4137E"/>
    <w:rsid w:val="00F418F3"/>
    <w:rsid w:val="00F419B5"/>
    <w:rsid w:val="00F41A7A"/>
    <w:rsid w:val="00F41AEB"/>
    <w:rsid w:val="00F41CA9"/>
    <w:rsid w:val="00F41D88"/>
    <w:rsid w:val="00F41F08"/>
    <w:rsid w:val="00F421EF"/>
    <w:rsid w:val="00F422CC"/>
    <w:rsid w:val="00F42589"/>
    <w:rsid w:val="00F427C4"/>
    <w:rsid w:val="00F42C55"/>
    <w:rsid w:val="00F42CDF"/>
    <w:rsid w:val="00F42E95"/>
    <w:rsid w:val="00F42E9C"/>
    <w:rsid w:val="00F42ECF"/>
    <w:rsid w:val="00F42EE2"/>
    <w:rsid w:val="00F42F28"/>
    <w:rsid w:val="00F42F43"/>
    <w:rsid w:val="00F43161"/>
    <w:rsid w:val="00F43606"/>
    <w:rsid w:val="00F43912"/>
    <w:rsid w:val="00F43BD9"/>
    <w:rsid w:val="00F43E42"/>
    <w:rsid w:val="00F44303"/>
    <w:rsid w:val="00F44312"/>
    <w:rsid w:val="00F44397"/>
    <w:rsid w:val="00F446A7"/>
    <w:rsid w:val="00F446CF"/>
    <w:rsid w:val="00F446EC"/>
    <w:rsid w:val="00F447BF"/>
    <w:rsid w:val="00F44809"/>
    <w:rsid w:val="00F4480A"/>
    <w:rsid w:val="00F4499A"/>
    <w:rsid w:val="00F44A20"/>
    <w:rsid w:val="00F44A95"/>
    <w:rsid w:val="00F44BD8"/>
    <w:rsid w:val="00F44FAB"/>
    <w:rsid w:val="00F4520D"/>
    <w:rsid w:val="00F4521A"/>
    <w:rsid w:val="00F4526D"/>
    <w:rsid w:val="00F452F6"/>
    <w:rsid w:val="00F45B63"/>
    <w:rsid w:val="00F45DA3"/>
    <w:rsid w:val="00F45FBF"/>
    <w:rsid w:val="00F4626C"/>
    <w:rsid w:val="00F462C9"/>
    <w:rsid w:val="00F462E5"/>
    <w:rsid w:val="00F46454"/>
    <w:rsid w:val="00F46466"/>
    <w:rsid w:val="00F46737"/>
    <w:rsid w:val="00F467B1"/>
    <w:rsid w:val="00F46B4D"/>
    <w:rsid w:val="00F46C5B"/>
    <w:rsid w:val="00F46DC3"/>
    <w:rsid w:val="00F46F0B"/>
    <w:rsid w:val="00F46FC7"/>
    <w:rsid w:val="00F47175"/>
    <w:rsid w:val="00F4738B"/>
    <w:rsid w:val="00F4743B"/>
    <w:rsid w:val="00F474C5"/>
    <w:rsid w:val="00F4753E"/>
    <w:rsid w:val="00F478FD"/>
    <w:rsid w:val="00F47E18"/>
    <w:rsid w:val="00F47EB4"/>
    <w:rsid w:val="00F500D4"/>
    <w:rsid w:val="00F502B0"/>
    <w:rsid w:val="00F50303"/>
    <w:rsid w:val="00F5030B"/>
    <w:rsid w:val="00F5058B"/>
    <w:rsid w:val="00F5067A"/>
    <w:rsid w:val="00F5088E"/>
    <w:rsid w:val="00F509E1"/>
    <w:rsid w:val="00F50A15"/>
    <w:rsid w:val="00F50AA1"/>
    <w:rsid w:val="00F50C93"/>
    <w:rsid w:val="00F50CF8"/>
    <w:rsid w:val="00F50F72"/>
    <w:rsid w:val="00F50FBC"/>
    <w:rsid w:val="00F50FEF"/>
    <w:rsid w:val="00F51130"/>
    <w:rsid w:val="00F51171"/>
    <w:rsid w:val="00F514B6"/>
    <w:rsid w:val="00F51677"/>
    <w:rsid w:val="00F51A5A"/>
    <w:rsid w:val="00F51B53"/>
    <w:rsid w:val="00F51C82"/>
    <w:rsid w:val="00F51F05"/>
    <w:rsid w:val="00F51F7B"/>
    <w:rsid w:val="00F520F2"/>
    <w:rsid w:val="00F52131"/>
    <w:rsid w:val="00F5225E"/>
    <w:rsid w:val="00F522D6"/>
    <w:rsid w:val="00F52373"/>
    <w:rsid w:val="00F52402"/>
    <w:rsid w:val="00F52747"/>
    <w:rsid w:val="00F52805"/>
    <w:rsid w:val="00F5283D"/>
    <w:rsid w:val="00F528BE"/>
    <w:rsid w:val="00F52918"/>
    <w:rsid w:val="00F52C62"/>
    <w:rsid w:val="00F52C99"/>
    <w:rsid w:val="00F52EE0"/>
    <w:rsid w:val="00F5317E"/>
    <w:rsid w:val="00F531DA"/>
    <w:rsid w:val="00F53490"/>
    <w:rsid w:val="00F53521"/>
    <w:rsid w:val="00F53562"/>
    <w:rsid w:val="00F5362D"/>
    <w:rsid w:val="00F53893"/>
    <w:rsid w:val="00F53953"/>
    <w:rsid w:val="00F539E5"/>
    <w:rsid w:val="00F539F6"/>
    <w:rsid w:val="00F54839"/>
    <w:rsid w:val="00F549A0"/>
    <w:rsid w:val="00F54A8B"/>
    <w:rsid w:val="00F54C9F"/>
    <w:rsid w:val="00F54D13"/>
    <w:rsid w:val="00F54EC7"/>
    <w:rsid w:val="00F54FD9"/>
    <w:rsid w:val="00F5503D"/>
    <w:rsid w:val="00F5552C"/>
    <w:rsid w:val="00F55570"/>
    <w:rsid w:val="00F55967"/>
    <w:rsid w:val="00F559BC"/>
    <w:rsid w:val="00F55BD3"/>
    <w:rsid w:val="00F55ED4"/>
    <w:rsid w:val="00F55FCC"/>
    <w:rsid w:val="00F56052"/>
    <w:rsid w:val="00F561F9"/>
    <w:rsid w:val="00F5627A"/>
    <w:rsid w:val="00F562AA"/>
    <w:rsid w:val="00F56973"/>
    <w:rsid w:val="00F5699A"/>
    <w:rsid w:val="00F569BF"/>
    <w:rsid w:val="00F56EF7"/>
    <w:rsid w:val="00F56FF2"/>
    <w:rsid w:val="00F57246"/>
    <w:rsid w:val="00F57405"/>
    <w:rsid w:val="00F57742"/>
    <w:rsid w:val="00F57874"/>
    <w:rsid w:val="00F5799E"/>
    <w:rsid w:val="00F57A16"/>
    <w:rsid w:val="00F57A90"/>
    <w:rsid w:val="00F57B2E"/>
    <w:rsid w:val="00F57F38"/>
    <w:rsid w:val="00F60015"/>
    <w:rsid w:val="00F60029"/>
    <w:rsid w:val="00F600E3"/>
    <w:rsid w:val="00F60131"/>
    <w:rsid w:val="00F601E4"/>
    <w:rsid w:val="00F60517"/>
    <w:rsid w:val="00F60965"/>
    <w:rsid w:val="00F60A90"/>
    <w:rsid w:val="00F60AB3"/>
    <w:rsid w:val="00F60C84"/>
    <w:rsid w:val="00F61205"/>
    <w:rsid w:val="00F616B7"/>
    <w:rsid w:val="00F617C9"/>
    <w:rsid w:val="00F61C4D"/>
    <w:rsid w:val="00F61CFC"/>
    <w:rsid w:val="00F62325"/>
    <w:rsid w:val="00F6254B"/>
    <w:rsid w:val="00F62684"/>
    <w:rsid w:val="00F626E4"/>
    <w:rsid w:val="00F6280A"/>
    <w:rsid w:val="00F628A2"/>
    <w:rsid w:val="00F62FC8"/>
    <w:rsid w:val="00F63176"/>
    <w:rsid w:val="00F633CF"/>
    <w:rsid w:val="00F6351F"/>
    <w:rsid w:val="00F63603"/>
    <w:rsid w:val="00F63720"/>
    <w:rsid w:val="00F637CF"/>
    <w:rsid w:val="00F63DBE"/>
    <w:rsid w:val="00F63F1B"/>
    <w:rsid w:val="00F64185"/>
    <w:rsid w:val="00F6421F"/>
    <w:rsid w:val="00F64944"/>
    <w:rsid w:val="00F64D72"/>
    <w:rsid w:val="00F64DA3"/>
    <w:rsid w:val="00F64E32"/>
    <w:rsid w:val="00F64E86"/>
    <w:rsid w:val="00F64ED9"/>
    <w:rsid w:val="00F65293"/>
    <w:rsid w:val="00F6542D"/>
    <w:rsid w:val="00F656C0"/>
    <w:rsid w:val="00F6573E"/>
    <w:rsid w:val="00F65D78"/>
    <w:rsid w:val="00F65DC3"/>
    <w:rsid w:val="00F65F0D"/>
    <w:rsid w:val="00F65FE4"/>
    <w:rsid w:val="00F6602B"/>
    <w:rsid w:val="00F6608A"/>
    <w:rsid w:val="00F663C7"/>
    <w:rsid w:val="00F66DDD"/>
    <w:rsid w:val="00F66E70"/>
    <w:rsid w:val="00F66E96"/>
    <w:rsid w:val="00F67502"/>
    <w:rsid w:val="00F6778B"/>
    <w:rsid w:val="00F67C33"/>
    <w:rsid w:val="00F7059B"/>
    <w:rsid w:val="00F7095A"/>
    <w:rsid w:val="00F70A63"/>
    <w:rsid w:val="00F70C2C"/>
    <w:rsid w:val="00F70C2E"/>
    <w:rsid w:val="00F70D4C"/>
    <w:rsid w:val="00F71135"/>
    <w:rsid w:val="00F711AC"/>
    <w:rsid w:val="00F7125D"/>
    <w:rsid w:val="00F71446"/>
    <w:rsid w:val="00F715B3"/>
    <w:rsid w:val="00F71735"/>
    <w:rsid w:val="00F717EA"/>
    <w:rsid w:val="00F71A35"/>
    <w:rsid w:val="00F71B25"/>
    <w:rsid w:val="00F71B28"/>
    <w:rsid w:val="00F71B6E"/>
    <w:rsid w:val="00F71B96"/>
    <w:rsid w:val="00F71C31"/>
    <w:rsid w:val="00F72154"/>
    <w:rsid w:val="00F721B6"/>
    <w:rsid w:val="00F72237"/>
    <w:rsid w:val="00F72384"/>
    <w:rsid w:val="00F723C8"/>
    <w:rsid w:val="00F7252C"/>
    <w:rsid w:val="00F725F6"/>
    <w:rsid w:val="00F7260B"/>
    <w:rsid w:val="00F7267E"/>
    <w:rsid w:val="00F7279B"/>
    <w:rsid w:val="00F72903"/>
    <w:rsid w:val="00F72B96"/>
    <w:rsid w:val="00F72CB4"/>
    <w:rsid w:val="00F72EA2"/>
    <w:rsid w:val="00F72F78"/>
    <w:rsid w:val="00F73129"/>
    <w:rsid w:val="00F731BC"/>
    <w:rsid w:val="00F73232"/>
    <w:rsid w:val="00F73319"/>
    <w:rsid w:val="00F7343F"/>
    <w:rsid w:val="00F73524"/>
    <w:rsid w:val="00F7381D"/>
    <w:rsid w:val="00F73870"/>
    <w:rsid w:val="00F73A32"/>
    <w:rsid w:val="00F73B7F"/>
    <w:rsid w:val="00F73BEB"/>
    <w:rsid w:val="00F73CEA"/>
    <w:rsid w:val="00F73D28"/>
    <w:rsid w:val="00F73E54"/>
    <w:rsid w:val="00F73EC5"/>
    <w:rsid w:val="00F73F45"/>
    <w:rsid w:val="00F73FF9"/>
    <w:rsid w:val="00F74368"/>
    <w:rsid w:val="00F747AF"/>
    <w:rsid w:val="00F74B36"/>
    <w:rsid w:val="00F74B4D"/>
    <w:rsid w:val="00F74B9F"/>
    <w:rsid w:val="00F74CBC"/>
    <w:rsid w:val="00F74FA4"/>
    <w:rsid w:val="00F75244"/>
    <w:rsid w:val="00F7540D"/>
    <w:rsid w:val="00F7561F"/>
    <w:rsid w:val="00F7588B"/>
    <w:rsid w:val="00F75AA9"/>
    <w:rsid w:val="00F75E35"/>
    <w:rsid w:val="00F76484"/>
    <w:rsid w:val="00F7653B"/>
    <w:rsid w:val="00F7696D"/>
    <w:rsid w:val="00F769E9"/>
    <w:rsid w:val="00F76A52"/>
    <w:rsid w:val="00F77171"/>
    <w:rsid w:val="00F771A1"/>
    <w:rsid w:val="00F773A8"/>
    <w:rsid w:val="00F7770C"/>
    <w:rsid w:val="00F77B5E"/>
    <w:rsid w:val="00F77B67"/>
    <w:rsid w:val="00F77C61"/>
    <w:rsid w:val="00F77E2A"/>
    <w:rsid w:val="00F77F1D"/>
    <w:rsid w:val="00F800A1"/>
    <w:rsid w:val="00F802F9"/>
    <w:rsid w:val="00F8044C"/>
    <w:rsid w:val="00F80569"/>
    <w:rsid w:val="00F805CE"/>
    <w:rsid w:val="00F805E6"/>
    <w:rsid w:val="00F80804"/>
    <w:rsid w:val="00F809A3"/>
    <w:rsid w:val="00F80BB5"/>
    <w:rsid w:val="00F80BD1"/>
    <w:rsid w:val="00F80CC8"/>
    <w:rsid w:val="00F80CFD"/>
    <w:rsid w:val="00F80EF5"/>
    <w:rsid w:val="00F81053"/>
    <w:rsid w:val="00F81160"/>
    <w:rsid w:val="00F812CD"/>
    <w:rsid w:val="00F81564"/>
    <w:rsid w:val="00F815E6"/>
    <w:rsid w:val="00F81875"/>
    <w:rsid w:val="00F8198F"/>
    <w:rsid w:val="00F81A40"/>
    <w:rsid w:val="00F81BD8"/>
    <w:rsid w:val="00F81CBB"/>
    <w:rsid w:val="00F81E2B"/>
    <w:rsid w:val="00F81F3C"/>
    <w:rsid w:val="00F82041"/>
    <w:rsid w:val="00F821F8"/>
    <w:rsid w:val="00F8225C"/>
    <w:rsid w:val="00F822BC"/>
    <w:rsid w:val="00F825B9"/>
    <w:rsid w:val="00F8274B"/>
    <w:rsid w:val="00F8299A"/>
    <w:rsid w:val="00F829F8"/>
    <w:rsid w:val="00F82B2E"/>
    <w:rsid w:val="00F82BCD"/>
    <w:rsid w:val="00F82BE0"/>
    <w:rsid w:val="00F830BC"/>
    <w:rsid w:val="00F83169"/>
    <w:rsid w:val="00F8325A"/>
    <w:rsid w:val="00F83761"/>
    <w:rsid w:val="00F83A09"/>
    <w:rsid w:val="00F83BD9"/>
    <w:rsid w:val="00F83C4D"/>
    <w:rsid w:val="00F841D6"/>
    <w:rsid w:val="00F843BE"/>
    <w:rsid w:val="00F845F8"/>
    <w:rsid w:val="00F84674"/>
    <w:rsid w:val="00F8483B"/>
    <w:rsid w:val="00F84A0B"/>
    <w:rsid w:val="00F84B75"/>
    <w:rsid w:val="00F84C7E"/>
    <w:rsid w:val="00F84D4D"/>
    <w:rsid w:val="00F84EA8"/>
    <w:rsid w:val="00F84FFE"/>
    <w:rsid w:val="00F8525B"/>
    <w:rsid w:val="00F85299"/>
    <w:rsid w:val="00F852A4"/>
    <w:rsid w:val="00F856FC"/>
    <w:rsid w:val="00F8572F"/>
    <w:rsid w:val="00F8597F"/>
    <w:rsid w:val="00F85A10"/>
    <w:rsid w:val="00F85A59"/>
    <w:rsid w:val="00F85B01"/>
    <w:rsid w:val="00F85C21"/>
    <w:rsid w:val="00F85C54"/>
    <w:rsid w:val="00F8668D"/>
    <w:rsid w:val="00F86731"/>
    <w:rsid w:val="00F86894"/>
    <w:rsid w:val="00F868A3"/>
    <w:rsid w:val="00F869B2"/>
    <w:rsid w:val="00F86A7E"/>
    <w:rsid w:val="00F86AA7"/>
    <w:rsid w:val="00F86AC9"/>
    <w:rsid w:val="00F86B5C"/>
    <w:rsid w:val="00F86BF6"/>
    <w:rsid w:val="00F86D1C"/>
    <w:rsid w:val="00F86FAD"/>
    <w:rsid w:val="00F87270"/>
    <w:rsid w:val="00F874EE"/>
    <w:rsid w:val="00F87557"/>
    <w:rsid w:val="00F876A6"/>
    <w:rsid w:val="00F87738"/>
    <w:rsid w:val="00F87787"/>
    <w:rsid w:val="00F87C5A"/>
    <w:rsid w:val="00F87D7A"/>
    <w:rsid w:val="00F87DE1"/>
    <w:rsid w:val="00F87F31"/>
    <w:rsid w:val="00F9032E"/>
    <w:rsid w:val="00F90820"/>
    <w:rsid w:val="00F90B79"/>
    <w:rsid w:val="00F90C52"/>
    <w:rsid w:val="00F90DF4"/>
    <w:rsid w:val="00F90EC7"/>
    <w:rsid w:val="00F90EEA"/>
    <w:rsid w:val="00F9112A"/>
    <w:rsid w:val="00F91400"/>
    <w:rsid w:val="00F9156B"/>
    <w:rsid w:val="00F91577"/>
    <w:rsid w:val="00F91AFC"/>
    <w:rsid w:val="00F91B3C"/>
    <w:rsid w:val="00F91CFF"/>
    <w:rsid w:val="00F9226D"/>
    <w:rsid w:val="00F9241F"/>
    <w:rsid w:val="00F924DD"/>
    <w:rsid w:val="00F926E7"/>
    <w:rsid w:val="00F92747"/>
    <w:rsid w:val="00F92754"/>
    <w:rsid w:val="00F927AE"/>
    <w:rsid w:val="00F92812"/>
    <w:rsid w:val="00F928AC"/>
    <w:rsid w:val="00F9295C"/>
    <w:rsid w:val="00F92E75"/>
    <w:rsid w:val="00F92F3D"/>
    <w:rsid w:val="00F930B5"/>
    <w:rsid w:val="00F93190"/>
    <w:rsid w:val="00F9338D"/>
    <w:rsid w:val="00F933FE"/>
    <w:rsid w:val="00F93606"/>
    <w:rsid w:val="00F93923"/>
    <w:rsid w:val="00F93B8E"/>
    <w:rsid w:val="00F93C2B"/>
    <w:rsid w:val="00F93D98"/>
    <w:rsid w:val="00F93E11"/>
    <w:rsid w:val="00F94092"/>
    <w:rsid w:val="00F9412B"/>
    <w:rsid w:val="00F9439A"/>
    <w:rsid w:val="00F943F7"/>
    <w:rsid w:val="00F94534"/>
    <w:rsid w:val="00F94679"/>
    <w:rsid w:val="00F948F8"/>
    <w:rsid w:val="00F94A88"/>
    <w:rsid w:val="00F94B36"/>
    <w:rsid w:val="00F94CB4"/>
    <w:rsid w:val="00F94D62"/>
    <w:rsid w:val="00F94FBC"/>
    <w:rsid w:val="00F9511C"/>
    <w:rsid w:val="00F952D2"/>
    <w:rsid w:val="00F9538A"/>
    <w:rsid w:val="00F953F8"/>
    <w:rsid w:val="00F9561E"/>
    <w:rsid w:val="00F957A3"/>
    <w:rsid w:val="00F95AA4"/>
    <w:rsid w:val="00F95DD6"/>
    <w:rsid w:val="00F95F8D"/>
    <w:rsid w:val="00F95FAD"/>
    <w:rsid w:val="00F961E1"/>
    <w:rsid w:val="00F961F2"/>
    <w:rsid w:val="00F96256"/>
    <w:rsid w:val="00F96261"/>
    <w:rsid w:val="00F96331"/>
    <w:rsid w:val="00F9644D"/>
    <w:rsid w:val="00F96529"/>
    <w:rsid w:val="00F9658A"/>
    <w:rsid w:val="00F965DC"/>
    <w:rsid w:val="00F966CB"/>
    <w:rsid w:val="00F9683B"/>
    <w:rsid w:val="00F96B40"/>
    <w:rsid w:val="00F96EC2"/>
    <w:rsid w:val="00F96F19"/>
    <w:rsid w:val="00F96FCD"/>
    <w:rsid w:val="00F97048"/>
    <w:rsid w:val="00F9727B"/>
    <w:rsid w:val="00F9765B"/>
    <w:rsid w:val="00F9769C"/>
    <w:rsid w:val="00F97BF1"/>
    <w:rsid w:val="00F97C6B"/>
    <w:rsid w:val="00F97F7E"/>
    <w:rsid w:val="00F97F9C"/>
    <w:rsid w:val="00F97FE2"/>
    <w:rsid w:val="00FA021A"/>
    <w:rsid w:val="00FA0263"/>
    <w:rsid w:val="00FA0323"/>
    <w:rsid w:val="00FA0371"/>
    <w:rsid w:val="00FA03FD"/>
    <w:rsid w:val="00FA05AB"/>
    <w:rsid w:val="00FA097E"/>
    <w:rsid w:val="00FA0D29"/>
    <w:rsid w:val="00FA0F05"/>
    <w:rsid w:val="00FA10FF"/>
    <w:rsid w:val="00FA1263"/>
    <w:rsid w:val="00FA13A4"/>
    <w:rsid w:val="00FA13AF"/>
    <w:rsid w:val="00FA153C"/>
    <w:rsid w:val="00FA1782"/>
    <w:rsid w:val="00FA196A"/>
    <w:rsid w:val="00FA1A56"/>
    <w:rsid w:val="00FA1A69"/>
    <w:rsid w:val="00FA1AB7"/>
    <w:rsid w:val="00FA1C49"/>
    <w:rsid w:val="00FA1E8D"/>
    <w:rsid w:val="00FA1F5D"/>
    <w:rsid w:val="00FA1F7A"/>
    <w:rsid w:val="00FA226F"/>
    <w:rsid w:val="00FA229F"/>
    <w:rsid w:val="00FA2438"/>
    <w:rsid w:val="00FA2576"/>
    <w:rsid w:val="00FA275D"/>
    <w:rsid w:val="00FA27DC"/>
    <w:rsid w:val="00FA2861"/>
    <w:rsid w:val="00FA2872"/>
    <w:rsid w:val="00FA28FE"/>
    <w:rsid w:val="00FA2CFB"/>
    <w:rsid w:val="00FA2F96"/>
    <w:rsid w:val="00FA2FB6"/>
    <w:rsid w:val="00FA3511"/>
    <w:rsid w:val="00FA362D"/>
    <w:rsid w:val="00FA36E4"/>
    <w:rsid w:val="00FA3BA3"/>
    <w:rsid w:val="00FA3D03"/>
    <w:rsid w:val="00FA3DAA"/>
    <w:rsid w:val="00FA3F86"/>
    <w:rsid w:val="00FA4010"/>
    <w:rsid w:val="00FA4037"/>
    <w:rsid w:val="00FA4254"/>
    <w:rsid w:val="00FA4272"/>
    <w:rsid w:val="00FA4291"/>
    <w:rsid w:val="00FA42A0"/>
    <w:rsid w:val="00FA45B0"/>
    <w:rsid w:val="00FA473A"/>
    <w:rsid w:val="00FA49F4"/>
    <w:rsid w:val="00FA4AF0"/>
    <w:rsid w:val="00FA4B19"/>
    <w:rsid w:val="00FA4EDD"/>
    <w:rsid w:val="00FA4F8B"/>
    <w:rsid w:val="00FA5059"/>
    <w:rsid w:val="00FA51D3"/>
    <w:rsid w:val="00FA5240"/>
    <w:rsid w:val="00FA53F8"/>
    <w:rsid w:val="00FA5491"/>
    <w:rsid w:val="00FA54DF"/>
    <w:rsid w:val="00FA551E"/>
    <w:rsid w:val="00FA5698"/>
    <w:rsid w:val="00FA57CC"/>
    <w:rsid w:val="00FA58F0"/>
    <w:rsid w:val="00FA5CBA"/>
    <w:rsid w:val="00FA607F"/>
    <w:rsid w:val="00FA639F"/>
    <w:rsid w:val="00FA642A"/>
    <w:rsid w:val="00FA65F8"/>
    <w:rsid w:val="00FA70E0"/>
    <w:rsid w:val="00FA7386"/>
    <w:rsid w:val="00FA73AC"/>
    <w:rsid w:val="00FA7555"/>
    <w:rsid w:val="00FA764F"/>
    <w:rsid w:val="00FA7851"/>
    <w:rsid w:val="00FA7A06"/>
    <w:rsid w:val="00FA7A91"/>
    <w:rsid w:val="00FA7A98"/>
    <w:rsid w:val="00FA7B74"/>
    <w:rsid w:val="00FA7C2B"/>
    <w:rsid w:val="00FA7E1F"/>
    <w:rsid w:val="00FA7E7B"/>
    <w:rsid w:val="00FB008E"/>
    <w:rsid w:val="00FB0C54"/>
    <w:rsid w:val="00FB0D49"/>
    <w:rsid w:val="00FB1184"/>
    <w:rsid w:val="00FB11A4"/>
    <w:rsid w:val="00FB16C2"/>
    <w:rsid w:val="00FB1973"/>
    <w:rsid w:val="00FB1979"/>
    <w:rsid w:val="00FB1D1F"/>
    <w:rsid w:val="00FB1D54"/>
    <w:rsid w:val="00FB1D92"/>
    <w:rsid w:val="00FB1DEC"/>
    <w:rsid w:val="00FB1E7A"/>
    <w:rsid w:val="00FB1EB0"/>
    <w:rsid w:val="00FB1FD3"/>
    <w:rsid w:val="00FB1FDA"/>
    <w:rsid w:val="00FB1FDF"/>
    <w:rsid w:val="00FB20E9"/>
    <w:rsid w:val="00FB2247"/>
    <w:rsid w:val="00FB228D"/>
    <w:rsid w:val="00FB2334"/>
    <w:rsid w:val="00FB28BB"/>
    <w:rsid w:val="00FB2CD3"/>
    <w:rsid w:val="00FB2DEE"/>
    <w:rsid w:val="00FB3128"/>
    <w:rsid w:val="00FB3183"/>
    <w:rsid w:val="00FB31B5"/>
    <w:rsid w:val="00FB321D"/>
    <w:rsid w:val="00FB32E0"/>
    <w:rsid w:val="00FB3398"/>
    <w:rsid w:val="00FB34DC"/>
    <w:rsid w:val="00FB377F"/>
    <w:rsid w:val="00FB3798"/>
    <w:rsid w:val="00FB38E5"/>
    <w:rsid w:val="00FB3AE9"/>
    <w:rsid w:val="00FB400A"/>
    <w:rsid w:val="00FB423A"/>
    <w:rsid w:val="00FB4AE8"/>
    <w:rsid w:val="00FB4B02"/>
    <w:rsid w:val="00FB4B96"/>
    <w:rsid w:val="00FB4D02"/>
    <w:rsid w:val="00FB4D9B"/>
    <w:rsid w:val="00FB4DBA"/>
    <w:rsid w:val="00FB5207"/>
    <w:rsid w:val="00FB5237"/>
    <w:rsid w:val="00FB561A"/>
    <w:rsid w:val="00FB575B"/>
    <w:rsid w:val="00FB58AD"/>
    <w:rsid w:val="00FB58E8"/>
    <w:rsid w:val="00FB5994"/>
    <w:rsid w:val="00FB59D0"/>
    <w:rsid w:val="00FB5A9D"/>
    <w:rsid w:val="00FB5B8C"/>
    <w:rsid w:val="00FB5B8D"/>
    <w:rsid w:val="00FB5BF1"/>
    <w:rsid w:val="00FB5FB6"/>
    <w:rsid w:val="00FB608C"/>
    <w:rsid w:val="00FB62FF"/>
    <w:rsid w:val="00FB651D"/>
    <w:rsid w:val="00FB65A6"/>
    <w:rsid w:val="00FB6832"/>
    <w:rsid w:val="00FB6B56"/>
    <w:rsid w:val="00FB6CFD"/>
    <w:rsid w:val="00FB6D9C"/>
    <w:rsid w:val="00FB6DE8"/>
    <w:rsid w:val="00FB6E67"/>
    <w:rsid w:val="00FB6F19"/>
    <w:rsid w:val="00FB7033"/>
    <w:rsid w:val="00FB71CC"/>
    <w:rsid w:val="00FB7226"/>
    <w:rsid w:val="00FB7249"/>
    <w:rsid w:val="00FB750C"/>
    <w:rsid w:val="00FB75D4"/>
    <w:rsid w:val="00FB7779"/>
    <w:rsid w:val="00FB7824"/>
    <w:rsid w:val="00FB7B19"/>
    <w:rsid w:val="00FB7B7E"/>
    <w:rsid w:val="00FB7CB6"/>
    <w:rsid w:val="00FB7E45"/>
    <w:rsid w:val="00FB7FC5"/>
    <w:rsid w:val="00FB7FCB"/>
    <w:rsid w:val="00FC0267"/>
    <w:rsid w:val="00FC0567"/>
    <w:rsid w:val="00FC06C7"/>
    <w:rsid w:val="00FC0754"/>
    <w:rsid w:val="00FC108A"/>
    <w:rsid w:val="00FC123C"/>
    <w:rsid w:val="00FC12E4"/>
    <w:rsid w:val="00FC138E"/>
    <w:rsid w:val="00FC13F8"/>
    <w:rsid w:val="00FC148D"/>
    <w:rsid w:val="00FC16FE"/>
    <w:rsid w:val="00FC174D"/>
    <w:rsid w:val="00FC17FC"/>
    <w:rsid w:val="00FC1927"/>
    <w:rsid w:val="00FC194C"/>
    <w:rsid w:val="00FC1A53"/>
    <w:rsid w:val="00FC1CC9"/>
    <w:rsid w:val="00FC1F52"/>
    <w:rsid w:val="00FC1F82"/>
    <w:rsid w:val="00FC1FDF"/>
    <w:rsid w:val="00FC2606"/>
    <w:rsid w:val="00FC2612"/>
    <w:rsid w:val="00FC272B"/>
    <w:rsid w:val="00FC27D2"/>
    <w:rsid w:val="00FC286A"/>
    <w:rsid w:val="00FC29D4"/>
    <w:rsid w:val="00FC2C7F"/>
    <w:rsid w:val="00FC2CAB"/>
    <w:rsid w:val="00FC2D2F"/>
    <w:rsid w:val="00FC2D78"/>
    <w:rsid w:val="00FC2D9B"/>
    <w:rsid w:val="00FC31BB"/>
    <w:rsid w:val="00FC3537"/>
    <w:rsid w:val="00FC3677"/>
    <w:rsid w:val="00FC36AD"/>
    <w:rsid w:val="00FC36FA"/>
    <w:rsid w:val="00FC39ED"/>
    <w:rsid w:val="00FC3A5C"/>
    <w:rsid w:val="00FC3CA1"/>
    <w:rsid w:val="00FC3CBA"/>
    <w:rsid w:val="00FC4086"/>
    <w:rsid w:val="00FC41F9"/>
    <w:rsid w:val="00FC48EF"/>
    <w:rsid w:val="00FC4903"/>
    <w:rsid w:val="00FC4D2C"/>
    <w:rsid w:val="00FC4D7F"/>
    <w:rsid w:val="00FC4EA8"/>
    <w:rsid w:val="00FC4F51"/>
    <w:rsid w:val="00FC4FC4"/>
    <w:rsid w:val="00FC4FD9"/>
    <w:rsid w:val="00FC4FDD"/>
    <w:rsid w:val="00FC505C"/>
    <w:rsid w:val="00FC535C"/>
    <w:rsid w:val="00FC5585"/>
    <w:rsid w:val="00FC55BD"/>
    <w:rsid w:val="00FC5881"/>
    <w:rsid w:val="00FC5A28"/>
    <w:rsid w:val="00FC5B33"/>
    <w:rsid w:val="00FC5F4E"/>
    <w:rsid w:val="00FC6168"/>
    <w:rsid w:val="00FC618D"/>
    <w:rsid w:val="00FC61AA"/>
    <w:rsid w:val="00FC62B1"/>
    <w:rsid w:val="00FC62E2"/>
    <w:rsid w:val="00FC6744"/>
    <w:rsid w:val="00FC69B9"/>
    <w:rsid w:val="00FC6B4A"/>
    <w:rsid w:val="00FC6FB8"/>
    <w:rsid w:val="00FC70C6"/>
    <w:rsid w:val="00FC7502"/>
    <w:rsid w:val="00FC7510"/>
    <w:rsid w:val="00FC768C"/>
    <w:rsid w:val="00FC7702"/>
    <w:rsid w:val="00FC7741"/>
    <w:rsid w:val="00FC784F"/>
    <w:rsid w:val="00FC79AA"/>
    <w:rsid w:val="00FC7C14"/>
    <w:rsid w:val="00FC7C46"/>
    <w:rsid w:val="00FC7DF6"/>
    <w:rsid w:val="00FD00B3"/>
    <w:rsid w:val="00FD0270"/>
    <w:rsid w:val="00FD0275"/>
    <w:rsid w:val="00FD0342"/>
    <w:rsid w:val="00FD0547"/>
    <w:rsid w:val="00FD0675"/>
    <w:rsid w:val="00FD0917"/>
    <w:rsid w:val="00FD098E"/>
    <w:rsid w:val="00FD0AB7"/>
    <w:rsid w:val="00FD0AFA"/>
    <w:rsid w:val="00FD0B84"/>
    <w:rsid w:val="00FD0D5A"/>
    <w:rsid w:val="00FD0E48"/>
    <w:rsid w:val="00FD0FC7"/>
    <w:rsid w:val="00FD1042"/>
    <w:rsid w:val="00FD104E"/>
    <w:rsid w:val="00FD1085"/>
    <w:rsid w:val="00FD12D8"/>
    <w:rsid w:val="00FD14B0"/>
    <w:rsid w:val="00FD1510"/>
    <w:rsid w:val="00FD1634"/>
    <w:rsid w:val="00FD171A"/>
    <w:rsid w:val="00FD1D83"/>
    <w:rsid w:val="00FD1DBF"/>
    <w:rsid w:val="00FD1F26"/>
    <w:rsid w:val="00FD1F2E"/>
    <w:rsid w:val="00FD1F4A"/>
    <w:rsid w:val="00FD1FB8"/>
    <w:rsid w:val="00FD21A1"/>
    <w:rsid w:val="00FD27E9"/>
    <w:rsid w:val="00FD2852"/>
    <w:rsid w:val="00FD2878"/>
    <w:rsid w:val="00FD293D"/>
    <w:rsid w:val="00FD2964"/>
    <w:rsid w:val="00FD2994"/>
    <w:rsid w:val="00FD29C1"/>
    <w:rsid w:val="00FD2B26"/>
    <w:rsid w:val="00FD2EED"/>
    <w:rsid w:val="00FD2FAB"/>
    <w:rsid w:val="00FD2FAD"/>
    <w:rsid w:val="00FD3042"/>
    <w:rsid w:val="00FD3268"/>
    <w:rsid w:val="00FD333A"/>
    <w:rsid w:val="00FD3436"/>
    <w:rsid w:val="00FD348E"/>
    <w:rsid w:val="00FD3575"/>
    <w:rsid w:val="00FD3728"/>
    <w:rsid w:val="00FD3805"/>
    <w:rsid w:val="00FD389C"/>
    <w:rsid w:val="00FD3BAD"/>
    <w:rsid w:val="00FD3BF0"/>
    <w:rsid w:val="00FD3FFE"/>
    <w:rsid w:val="00FD43F7"/>
    <w:rsid w:val="00FD498D"/>
    <w:rsid w:val="00FD501E"/>
    <w:rsid w:val="00FD504B"/>
    <w:rsid w:val="00FD50A0"/>
    <w:rsid w:val="00FD5209"/>
    <w:rsid w:val="00FD5496"/>
    <w:rsid w:val="00FD5695"/>
    <w:rsid w:val="00FD5713"/>
    <w:rsid w:val="00FD5A97"/>
    <w:rsid w:val="00FD5AE7"/>
    <w:rsid w:val="00FD5E3C"/>
    <w:rsid w:val="00FD63E1"/>
    <w:rsid w:val="00FD65A3"/>
    <w:rsid w:val="00FD6B4B"/>
    <w:rsid w:val="00FD6E19"/>
    <w:rsid w:val="00FD6E25"/>
    <w:rsid w:val="00FD6ED0"/>
    <w:rsid w:val="00FD6F52"/>
    <w:rsid w:val="00FD7022"/>
    <w:rsid w:val="00FD70DB"/>
    <w:rsid w:val="00FD79C7"/>
    <w:rsid w:val="00FD7B0E"/>
    <w:rsid w:val="00FD7BEB"/>
    <w:rsid w:val="00FE0363"/>
    <w:rsid w:val="00FE0367"/>
    <w:rsid w:val="00FE05F1"/>
    <w:rsid w:val="00FE09CD"/>
    <w:rsid w:val="00FE0BEC"/>
    <w:rsid w:val="00FE0D7D"/>
    <w:rsid w:val="00FE0E2A"/>
    <w:rsid w:val="00FE0F8C"/>
    <w:rsid w:val="00FE101B"/>
    <w:rsid w:val="00FE1034"/>
    <w:rsid w:val="00FE1199"/>
    <w:rsid w:val="00FE12DF"/>
    <w:rsid w:val="00FE1340"/>
    <w:rsid w:val="00FE13BF"/>
    <w:rsid w:val="00FE1869"/>
    <w:rsid w:val="00FE1973"/>
    <w:rsid w:val="00FE1DF5"/>
    <w:rsid w:val="00FE1F57"/>
    <w:rsid w:val="00FE207D"/>
    <w:rsid w:val="00FE21A4"/>
    <w:rsid w:val="00FE232A"/>
    <w:rsid w:val="00FE256D"/>
    <w:rsid w:val="00FE2611"/>
    <w:rsid w:val="00FE26A2"/>
    <w:rsid w:val="00FE2B0B"/>
    <w:rsid w:val="00FE2BC7"/>
    <w:rsid w:val="00FE2D13"/>
    <w:rsid w:val="00FE2E15"/>
    <w:rsid w:val="00FE2F1C"/>
    <w:rsid w:val="00FE2F4E"/>
    <w:rsid w:val="00FE3092"/>
    <w:rsid w:val="00FE3359"/>
    <w:rsid w:val="00FE33E6"/>
    <w:rsid w:val="00FE34B7"/>
    <w:rsid w:val="00FE385D"/>
    <w:rsid w:val="00FE39D8"/>
    <w:rsid w:val="00FE39FA"/>
    <w:rsid w:val="00FE3AF7"/>
    <w:rsid w:val="00FE3EC2"/>
    <w:rsid w:val="00FE3EC8"/>
    <w:rsid w:val="00FE3F4E"/>
    <w:rsid w:val="00FE4010"/>
    <w:rsid w:val="00FE412C"/>
    <w:rsid w:val="00FE4235"/>
    <w:rsid w:val="00FE445E"/>
    <w:rsid w:val="00FE4928"/>
    <w:rsid w:val="00FE494A"/>
    <w:rsid w:val="00FE4952"/>
    <w:rsid w:val="00FE4B42"/>
    <w:rsid w:val="00FE4CB4"/>
    <w:rsid w:val="00FE4DCB"/>
    <w:rsid w:val="00FE4F74"/>
    <w:rsid w:val="00FE4FEC"/>
    <w:rsid w:val="00FE50BC"/>
    <w:rsid w:val="00FE550A"/>
    <w:rsid w:val="00FE5512"/>
    <w:rsid w:val="00FE58EC"/>
    <w:rsid w:val="00FE59A2"/>
    <w:rsid w:val="00FE5D43"/>
    <w:rsid w:val="00FE5DB5"/>
    <w:rsid w:val="00FE5EF7"/>
    <w:rsid w:val="00FE632C"/>
    <w:rsid w:val="00FE64D0"/>
    <w:rsid w:val="00FE6516"/>
    <w:rsid w:val="00FE654A"/>
    <w:rsid w:val="00FE65E5"/>
    <w:rsid w:val="00FE68B1"/>
    <w:rsid w:val="00FE69AB"/>
    <w:rsid w:val="00FE6C04"/>
    <w:rsid w:val="00FE6D51"/>
    <w:rsid w:val="00FE6D70"/>
    <w:rsid w:val="00FE6DD7"/>
    <w:rsid w:val="00FE73C6"/>
    <w:rsid w:val="00FE73D2"/>
    <w:rsid w:val="00FE76D3"/>
    <w:rsid w:val="00FE7713"/>
    <w:rsid w:val="00FE780F"/>
    <w:rsid w:val="00FE7883"/>
    <w:rsid w:val="00FE78FD"/>
    <w:rsid w:val="00FE7B5D"/>
    <w:rsid w:val="00FE7C30"/>
    <w:rsid w:val="00FE7CF6"/>
    <w:rsid w:val="00FE7CFB"/>
    <w:rsid w:val="00FE7D21"/>
    <w:rsid w:val="00FE7D7A"/>
    <w:rsid w:val="00FE7FE0"/>
    <w:rsid w:val="00FF00C6"/>
    <w:rsid w:val="00FF0107"/>
    <w:rsid w:val="00FF02A8"/>
    <w:rsid w:val="00FF043D"/>
    <w:rsid w:val="00FF049C"/>
    <w:rsid w:val="00FF0533"/>
    <w:rsid w:val="00FF0540"/>
    <w:rsid w:val="00FF0607"/>
    <w:rsid w:val="00FF0752"/>
    <w:rsid w:val="00FF08F7"/>
    <w:rsid w:val="00FF0B96"/>
    <w:rsid w:val="00FF0BA0"/>
    <w:rsid w:val="00FF0CB0"/>
    <w:rsid w:val="00FF1145"/>
    <w:rsid w:val="00FF1450"/>
    <w:rsid w:val="00FF14C1"/>
    <w:rsid w:val="00FF1789"/>
    <w:rsid w:val="00FF19F5"/>
    <w:rsid w:val="00FF1A53"/>
    <w:rsid w:val="00FF1CB9"/>
    <w:rsid w:val="00FF1CF3"/>
    <w:rsid w:val="00FF1D6C"/>
    <w:rsid w:val="00FF1EA6"/>
    <w:rsid w:val="00FF20F4"/>
    <w:rsid w:val="00FF2118"/>
    <w:rsid w:val="00FF2183"/>
    <w:rsid w:val="00FF21F9"/>
    <w:rsid w:val="00FF2397"/>
    <w:rsid w:val="00FF2478"/>
    <w:rsid w:val="00FF24B5"/>
    <w:rsid w:val="00FF257B"/>
    <w:rsid w:val="00FF3127"/>
    <w:rsid w:val="00FF331E"/>
    <w:rsid w:val="00FF3562"/>
    <w:rsid w:val="00FF377C"/>
    <w:rsid w:val="00FF3924"/>
    <w:rsid w:val="00FF399A"/>
    <w:rsid w:val="00FF3BDE"/>
    <w:rsid w:val="00FF3FB8"/>
    <w:rsid w:val="00FF45B9"/>
    <w:rsid w:val="00FF49B1"/>
    <w:rsid w:val="00FF49EE"/>
    <w:rsid w:val="00FF4A17"/>
    <w:rsid w:val="00FF4D58"/>
    <w:rsid w:val="00FF4DBF"/>
    <w:rsid w:val="00FF4F65"/>
    <w:rsid w:val="00FF4F6D"/>
    <w:rsid w:val="00FF4F7D"/>
    <w:rsid w:val="00FF5130"/>
    <w:rsid w:val="00FF5145"/>
    <w:rsid w:val="00FF514D"/>
    <w:rsid w:val="00FF514E"/>
    <w:rsid w:val="00FF5348"/>
    <w:rsid w:val="00FF5464"/>
    <w:rsid w:val="00FF569E"/>
    <w:rsid w:val="00FF5907"/>
    <w:rsid w:val="00FF59CF"/>
    <w:rsid w:val="00FF5AC7"/>
    <w:rsid w:val="00FF6029"/>
    <w:rsid w:val="00FF6161"/>
    <w:rsid w:val="00FF616E"/>
    <w:rsid w:val="00FF61D0"/>
    <w:rsid w:val="00FF61D5"/>
    <w:rsid w:val="00FF6379"/>
    <w:rsid w:val="00FF6799"/>
    <w:rsid w:val="00FF68EA"/>
    <w:rsid w:val="00FF6A24"/>
    <w:rsid w:val="00FF6A69"/>
    <w:rsid w:val="00FF6DAB"/>
    <w:rsid w:val="00FF6DD8"/>
    <w:rsid w:val="00FF6E97"/>
    <w:rsid w:val="00FF7157"/>
    <w:rsid w:val="00FF73F3"/>
    <w:rsid w:val="00FF74CE"/>
    <w:rsid w:val="00FF7559"/>
    <w:rsid w:val="00FF77F6"/>
    <w:rsid w:val="00FF78E4"/>
    <w:rsid w:val="00FF7A02"/>
    <w:rsid w:val="00FF7A50"/>
    <w:rsid w:val="00FF7CAC"/>
    <w:rsid w:val="00FF7CB5"/>
    <w:rsid w:val="00FF7D10"/>
    <w:rsid w:val="00FF7FA9"/>
    <w:rsid w:val="179355C2"/>
    <w:rsid w:val="20B61039"/>
    <w:rsid w:val="30502ECC"/>
    <w:rsid w:val="3BD60810"/>
    <w:rsid w:val="47990E08"/>
    <w:rsid w:val="612E2287"/>
    <w:rsid w:val="68C44E21"/>
    <w:rsid w:val="7F3A8AA0"/>
    <w:rsid w:val="7F63433B"/>
    <w:rsid w:val="7FFEA997"/>
    <w:rsid w:val="DBDBA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name="toc 1"/>
    <w:lsdException w:qFormat="1" w:uiPriority="0" w:name="toc 2"/>
    <w:lsdException w:qFormat="1" w:uiPriority="0" w:name="toc 3"/>
    <w:lsdException w:qFormat="1" w:uiPriority="0" w:name="toc 4"/>
    <w:lsdException w:qFormat="1" w:uiPriority="0" w:name="toc 5"/>
    <w:lsdException w:qFormat="1" w:uiPriority="0" w:name="toc 6"/>
    <w:lsdException w:qFormat="1" w:uiPriority="0" w:name="toc 7"/>
    <w:lsdException w:qFormat="1" w:uiPriority="0" w:name="toc 8"/>
    <w:lsdException w:qFormat="1" w:uiPriority="0" w:name="toc 9"/>
    <w:lsdException w:qFormat="1"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beforeLines="0" w:afterLines="0" w:line="240"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5"/>
    <w:qFormat/>
    <w:uiPriority w:val="0"/>
    <w:pPr>
      <w:keepNext/>
      <w:keepLines/>
      <w:spacing w:before="260" w:after="260" w:line="416" w:lineRule="auto"/>
      <w:outlineLvl w:val="2"/>
    </w:pPr>
    <w:rPr>
      <w:b/>
      <w:bCs/>
      <w:sz w:val="32"/>
      <w:szCs w:val="32"/>
    </w:rPr>
  </w:style>
  <w:style w:type="paragraph" w:styleId="6">
    <w:name w:val="heading 4"/>
    <w:basedOn w:val="1"/>
    <w:next w:val="1"/>
    <w:link w:val="16"/>
    <w:qFormat/>
    <w:uiPriority w:val="0"/>
    <w:pPr>
      <w:keepNext/>
      <w:keepLines/>
      <w:spacing w:before="280" w:after="290" w:line="376" w:lineRule="auto"/>
      <w:outlineLvl w:val="3"/>
    </w:pPr>
    <w:rPr>
      <w:rFonts w:ascii="Cambria" w:hAnsi="Cambria"/>
      <w:b/>
      <w:bCs/>
      <w:sz w:val="28"/>
      <w:szCs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styleId="7">
    <w:name w:val="Document Map"/>
    <w:basedOn w:val="1"/>
    <w:link w:val="17"/>
    <w:qFormat/>
    <w:uiPriority w:val="0"/>
    <w:pPr>
      <w:shd w:val="clear" w:color="auto" w:fill="000080"/>
    </w:pPr>
  </w:style>
  <w:style w:type="paragraph" w:styleId="8">
    <w:name w:val="Balloon Text"/>
    <w:basedOn w:val="1"/>
    <w:link w:val="22"/>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标题 1 Char"/>
    <w:basedOn w:val="12"/>
    <w:link w:val="3"/>
    <w:qFormat/>
    <w:uiPriority w:val="0"/>
    <w:rPr>
      <w:rFonts w:ascii="Times New Roman" w:hAnsi="Times New Roman" w:eastAsia="宋体" w:cs="Times New Roman"/>
      <w:b/>
      <w:bCs/>
      <w:kern w:val="44"/>
      <w:sz w:val="44"/>
      <w:szCs w:val="44"/>
    </w:rPr>
  </w:style>
  <w:style w:type="character" w:customStyle="1" w:styleId="14">
    <w:name w:val="标题 2 Char"/>
    <w:basedOn w:val="12"/>
    <w:link w:val="4"/>
    <w:qFormat/>
    <w:uiPriority w:val="0"/>
    <w:rPr>
      <w:rFonts w:ascii="Arial" w:hAnsi="Arial" w:eastAsia="黑体" w:cs="Times New Roman"/>
      <w:b/>
      <w:bCs/>
      <w:sz w:val="32"/>
      <w:szCs w:val="32"/>
    </w:rPr>
  </w:style>
  <w:style w:type="character" w:customStyle="1" w:styleId="15">
    <w:name w:val="标题 3 Char"/>
    <w:basedOn w:val="12"/>
    <w:link w:val="5"/>
    <w:qFormat/>
    <w:uiPriority w:val="0"/>
    <w:rPr>
      <w:rFonts w:ascii="Times New Roman" w:hAnsi="Times New Roman" w:eastAsia="宋体" w:cs="Times New Roman"/>
      <w:b/>
      <w:bCs/>
      <w:sz w:val="32"/>
      <w:szCs w:val="32"/>
    </w:rPr>
  </w:style>
  <w:style w:type="character" w:customStyle="1" w:styleId="16">
    <w:name w:val="标题 4 Char"/>
    <w:basedOn w:val="12"/>
    <w:link w:val="6"/>
    <w:qFormat/>
    <w:uiPriority w:val="0"/>
    <w:rPr>
      <w:rFonts w:ascii="Cambria" w:hAnsi="Cambria" w:eastAsia="宋体" w:cs="Times New Roman"/>
      <w:b/>
      <w:bCs/>
      <w:sz w:val="28"/>
      <w:szCs w:val="28"/>
    </w:rPr>
  </w:style>
  <w:style w:type="character" w:customStyle="1" w:styleId="17">
    <w:name w:val="文档结构图 Char"/>
    <w:basedOn w:val="12"/>
    <w:link w:val="7"/>
    <w:qFormat/>
    <w:uiPriority w:val="0"/>
    <w:rPr>
      <w:rFonts w:ascii="Times New Roman" w:hAnsi="Times New Roman" w:eastAsia="宋体" w:cs="Times New Roman"/>
      <w:szCs w:val="24"/>
      <w:shd w:val="clear" w:color="auto" w:fill="000080"/>
    </w:rPr>
  </w:style>
  <w:style w:type="character" w:customStyle="1" w:styleId="18">
    <w:name w:val="页脚 Char"/>
    <w:basedOn w:val="12"/>
    <w:link w:val="9"/>
    <w:qFormat/>
    <w:uiPriority w:val="99"/>
    <w:rPr>
      <w:rFonts w:ascii="Times New Roman" w:hAnsi="Times New Roman" w:eastAsia="宋体" w:cs="Times New Roman"/>
      <w:sz w:val="18"/>
      <w:szCs w:val="18"/>
    </w:rPr>
  </w:style>
  <w:style w:type="character" w:customStyle="1" w:styleId="19">
    <w:name w:val="页眉 Char"/>
    <w:basedOn w:val="12"/>
    <w:link w:val="10"/>
    <w:qFormat/>
    <w:uiPriority w:val="0"/>
    <w:rPr>
      <w:rFonts w:ascii="Times New Roman" w:hAnsi="Times New Roman" w:eastAsia="宋体" w:cs="Times New Roman"/>
      <w:sz w:val="18"/>
      <w:szCs w:val="18"/>
    </w:rPr>
  </w:style>
  <w:style w:type="paragraph" w:styleId="20">
    <w:name w:val="No Spacing"/>
    <w:link w:val="21"/>
    <w:qFormat/>
    <w:uiPriority w:val="0"/>
    <w:pPr>
      <w:spacing w:beforeLines="0" w:afterLines="0" w:line="240" w:lineRule="auto"/>
      <w:ind w:firstLine="200" w:firstLineChars="200"/>
      <w:jc w:val="left"/>
    </w:pPr>
    <w:rPr>
      <w:rFonts w:ascii="Times New Roman" w:hAnsi="Times New Roman" w:eastAsia="仿宋_GB2312" w:cs="Times New Roman"/>
      <w:kern w:val="0"/>
      <w:sz w:val="30"/>
      <w:szCs w:val="22"/>
      <w:lang w:val="en-US" w:eastAsia="zh-CN" w:bidi="ar-SA"/>
    </w:rPr>
  </w:style>
  <w:style w:type="character" w:customStyle="1" w:styleId="21">
    <w:name w:val="无间隔 Char"/>
    <w:link w:val="20"/>
    <w:qFormat/>
    <w:locked/>
    <w:uiPriority w:val="0"/>
    <w:rPr>
      <w:rFonts w:ascii="Times New Roman" w:hAnsi="Times New Roman" w:eastAsia="仿宋_GB2312" w:cs="Times New Roman"/>
      <w:kern w:val="0"/>
      <w:sz w:val="30"/>
    </w:rPr>
  </w:style>
  <w:style w:type="character" w:customStyle="1" w:styleId="22">
    <w:name w:val="批注框文本 Char"/>
    <w:basedOn w:val="12"/>
    <w:link w:val="8"/>
    <w:qFormat/>
    <w:uiPriority w:val="0"/>
    <w:rPr>
      <w:rFonts w:ascii="Times New Roman" w:hAnsi="Times New Roman" w:eastAsia="宋体" w:cs="Times New Roman"/>
      <w:sz w:val="18"/>
      <w:szCs w:val="18"/>
    </w:rPr>
  </w:style>
  <w:style w:type="paragraph" w:customStyle="1" w:styleId="23">
    <w:name w:val="MsoNormal"/>
    <w:basedOn w:val="1"/>
    <w:qFormat/>
    <w:uiPriority w:val="0"/>
  </w:style>
  <w:style w:type="character" w:customStyle="1" w:styleId="24">
    <w:name w:val="font21"/>
    <w:basedOn w:val="12"/>
    <w:qFormat/>
    <w:uiPriority w:val="0"/>
    <w:rPr>
      <w:rFonts w:hint="eastAsia" w:ascii="宋体" w:hAnsi="宋体" w:eastAsia="宋体" w:cs="宋体"/>
      <w:color w:val="000000"/>
      <w:sz w:val="18"/>
      <w:szCs w:val="18"/>
      <w:u w:val="none"/>
    </w:rPr>
  </w:style>
  <w:style w:type="character" w:customStyle="1" w:styleId="25">
    <w:name w:val="font41"/>
    <w:basedOn w:val="12"/>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8638</Words>
  <Characters>9305</Characters>
  <Lines>166</Lines>
  <Paragraphs>46</Paragraphs>
  <TotalTime>68</TotalTime>
  <ScaleCrop>false</ScaleCrop>
  <LinksUpToDate>false</LinksUpToDate>
  <CharactersWithSpaces>9357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2026-08-20T17:42:00Z</dcterms:created>
  <dc:creator>于建荣</dc:creator>
  <cp:lastModifiedBy>Administrator</cp:lastModifiedBy>
  <cp:lastPrinted>2026-08-20T19:12:00Z</cp:lastPrinted>
  <dcterms:modified xsi:type="dcterms:W3CDTF">2026-08-21T10:17:07Z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eyJoZGlkIjoiMTM4ZTlhN2Y4MTRmYjI1MjAyY2QzMDA2MGQ2MTE0NDMifQ==</vt:lpwstr>
  </property>
  <property fmtid="{D5CDD505-2E9C-101B-9397-08002B2CF9AE}" pid="4" name="ICV">
    <vt:lpwstr>F1D2AB8DA8874553ADFA53B1A3A72A55_12</vt:lpwstr>
  </property>
</Properties>
</file>