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Hans" w:bidi="ar"/>
        </w:rPr>
        <w:t>项目</w:t>
      </w:r>
      <w:r>
        <w:rPr>
          <w:rFonts w:hint="eastAsia" w:ascii="仿宋" w:hAnsi="仿宋" w:eastAsia="仿宋" w:cs="仿宋"/>
          <w:b/>
          <w:bCs/>
          <w:i w:val="0"/>
          <w:iCs w:val="0"/>
          <w:color w:val="000000"/>
          <w:kern w:val="0"/>
          <w:sz w:val="52"/>
          <w:szCs w:val="52"/>
          <w:u w:val="none"/>
          <w:lang w:val="en-US" w:eastAsia="zh-CN" w:bidi="ar"/>
        </w:rPr>
        <w:t>绩效自评报告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hint="eastAsia" w:ascii="方正小标宋简体" w:eastAsia="方正小标宋简体"/>
          <w:sz w:val="44"/>
          <w:szCs w:val="44"/>
        </w:rPr>
        <w:t>2023</w:t>
      </w:r>
      <w:r>
        <w:rPr>
          <w:rFonts w:hint="eastAsia" w:ascii="仿宋" w:hAnsi="仿宋" w:eastAsia="仿宋" w:cs="仿宋"/>
          <w:b/>
          <w:bCs/>
          <w:i w:val="0"/>
          <w:iCs w:val="0"/>
          <w:color w:val="000000"/>
          <w:kern w:val="0"/>
          <w:sz w:val="36"/>
          <w:szCs w:val="36"/>
          <w:u w:val="none"/>
          <w:lang w:val="en-US" w:eastAsia="zh-CN" w:bidi="ar"/>
        </w:rPr>
        <w:t>年度）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cs="仿宋" w:eastAsia="仿宋"/>
          <w:b w:val="true"/>
          <w:sz w:val="32"/>
        </w:rPr>
        <w:t>办案（业务）经费</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cs="仿宋" w:eastAsia="仿宋"/>
          <w:b w:val="true"/>
          <w:sz w:val="32"/>
        </w:rPr>
        <w:t>内蒙古自治区人民检察院部门</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年   月   日</w:t>
      </w:r>
    </w:p>
    <w:p>
      <w:pPr>
        <w:ind w:firstLine="1606" w:firstLineChars="5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b/>
          <w:bCs/>
          <w:kern w:val="2"/>
          <w:sz w:val="32"/>
          <w:szCs w:val="32"/>
          <w:vertAlign w:val="baseline"/>
          <w:lang w:val="en-US" w:eastAsia="zh-CN" w:bidi="ar-SA"/>
        </w:rPr>
        <w:t>（盖章）</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w:t>
      </w:r>
      <w:bookmarkStart w:id="0" w:name="_GoBack"/>
      <w:bookmarkEnd w:id="0"/>
      <w:r>
        <w:rPr>
          <w:rFonts w:hint="eastAsia" w:ascii="方正小标宋简体" w:eastAsia="方正小标宋简体"/>
          <w:sz w:val="44"/>
          <w:szCs w:val="44"/>
        </w:rPr>
        <w:t>年</w:t>
      </w:r>
      <w:r>
        <w:rPr>
          <w:rFonts w:ascii="方正小标宋简体" w:hAnsi="方正小标宋简体" w:cs="方正小标宋简体" w:eastAsia="方正小标宋简体"/>
          <w:sz w:val="44"/>
        </w:rPr>
        <w:t>办案（业务）经费</w:t>
      </w:r>
      <w:r>
        <w:rPr>
          <w:rFonts w:ascii="方正小标宋简体" w:hAnsi="方正小标宋简体" w:cs="方正小标宋简体" w:eastAsia="方正小标宋简体"/>
          <w:sz w:val="44"/>
        </w:rPr>
        <w:t>项目绩效自评报告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保障人民检察业务工作特定需要。</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cs="仿宋" w:eastAsia="仿宋"/>
          <w:color w:val="auto"/>
          <w:spacing w:val="8"/>
          <w:sz w:val="30"/>
        </w:rPr>
        <w:t>保障日常办案运行，改善法治环境，执法司法公信力进一步提升。</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cs="仿宋" w:eastAsia="仿宋"/>
          <w:color w:val="auto"/>
          <w:spacing w:val="8"/>
          <w:sz w:val="30"/>
        </w:rPr>
        <w:t>日常办案工作顺利开展，为法治环境建设提供充足经费保障。</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办案业务经费是人民检察院在依法履行职责，办理各类案件中发生的办案费、消耗费、会议费、业务租赁费、业务维修（护）费、检察宣传费、教育培训费、奖励费、理论研究费、档案管理费和其他业务费，其中办案费包括办案差旅费、调查取证费、协助办案费、技术检验鉴定评估费、印刷费、邮电费、交通费。为保障办案业务工作所需的各项费用切实发挥效益，我们对项目资金进行了绩效自评。</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cs="仿宋" w:eastAsia="仿宋"/>
          <w:color w:val="auto"/>
          <w:spacing w:val="4"/>
          <w:sz w:val="30"/>
        </w:rPr>
        <w:t>2406.28</w:t>
      </w:r>
      <w:r>
        <w:rPr>
          <w:rFonts w:ascii="仿宋" w:hAnsi="仿宋" w:cs="仿宋" w:eastAsia="仿宋"/>
          <w:color w:val="auto"/>
          <w:spacing w:val="4"/>
          <w:sz w:val="30"/>
        </w:rPr>
        <w:t>万元，其中：财政拨款</w:t>
      </w:r>
      <w:r>
        <w:rPr>
          <w:rFonts w:ascii="仿宋" w:hAnsi="仿宋" w:cs="仿宋" w:eastAsia="仿宋"/>
          <w:color w:val="auto"/>
          <w:spacing w:val="4"/>
          <w:sz w:val="30"/>
        </w:rPr>
        <w:t>2406.28</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cs="仿宋" w:eastAsia="仿宋"/>
          <w:color w:val="auto"/>
          <w:spacing w:val="4"/>
          <w:sz w:val="30"/>
        </w:rPr>
        <w:t>2406.28</w:t>
      </w:r>
      <w:r>
        <w:rPr>
          <w:rFonts w:ascii="仿宋" w:hAnsi="仿宋" w:cs="仿宋" w:eastAsia="仿宋"/>
          <w:color w:val="auto"/>
          <w:spacing w:val="4"/>
          <w:sz w:val="30"/>
        </w:rPr>
        <w:t>万元，其中：财政拨款</w:t>
      </w:r>
      <w:r>
        <w:rPr>
          <w:rFonts w:ascii="仿宋" w:hAnsi="仿宋" w:cs="仿宋" w:eastAsia="仿宋"/>
          <w:color w:val="auto"/>
          <w:spacing w:val="4"/>
          <w:sz w:val="30"/>
        </w:rPr>
        <w:t>2406.28</w:t>
      </w:r>
      <w:r>
        <w:rPr>
          <w:rFonts w:ascii="仿宋" w:hAnsi="仿宋" w:cs="仿宋" w:eastAsia="仿宋"/>
          <w:color w:val="auto"/>
          <w:spacing w:val="4"/>
          <w:sz w:val="30"/>
        </w:rPr>
        <w:t>万元，其他资金</w:t>
      </w:r>
      <w:r>
        <w:rPr>
          <w:rFonts w:ascii="仿宋" w:hAnsi="仿宋" w:cs="仿宋" w:eastAsia="仿宋"/>
          <w:color w:val="auto"/>
          <w:spacing w:val="4"/>
          <w:sz w:val="30"/>
        </w:rPr>
        <w:t>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cs="仿宋" w:eastAsia="仿宋"/>
          <w:color w:val="auto"/>
          <w:spacing w:val="4"/>
          <w:sz w:val="30"/>
        </w:rPr>
        <w:t>2114.29</w:t>
      </w:r>
      <w:r>
        <w:rPr>
          <w:rFonts w:ascii="仿宋" w:hAnsi="仿宋" w:cs="仿宋" w:eastAsia="仿宋"/>
          <w:color w:val="auto"/>
          <w:spacing w:val="4"/>
          <w:sz w:val="30"/>
        </w:rPr>
        <w:t>万元，其中：财政拨款</w:t>
      </w:r>
      <w:r>
        <w:rPr>
          <w:rFonts w:ascii="仿宋" w:hAnsi="仿宋" w:cs="仿宋" w:eastAsia="仿宋"/>
          <w:color w:val="auto"/>
          <w:spacing w:val="4"/>
          <w:sz w:val="30"/>
        </w:rPr>
        <w:t>2114.29</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该项目绩效目标共设定一级指标3个、二级指标7个，三级指标13个，分别从保障日常办案合理有效运行（定性、正向指标）、及时支付干警办理案件各类支出（定量正向指标）、改善所管辖地区法治环境（定性正向指标）、保障维护法治的可持续性（定向正向指标）、案件当事人满意度（定量正向指标）等几个方面对项目进行考核，除成本指标—办案业务费受疫情影响未达到年初设定的目标外，其他指标达到了年初设定的目标。</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该项目年初预算2406.28万元，全年预算执行年初预算2114.29万元，执行率87.87%。该项目整体通过出庭支持公诉、对民事、刑事等案件的法律监督，切实强化对立案、侦查、审判、执行等活动的监督，存进严格执法、公正司法、维护宪法法律权威，维护了社会稳定，让人民群众在每一个司法案件中感受到了公平正义。</w:t>
      </w:r>
    </w:p>
    <w:p>
      <w:pPr>
        <w:numPr>
          <w:ilvl w:val="0"/>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(一) 产出指标完成情况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1、数量指标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2、质量指标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1)保障日常办案合理有效运行</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优良中差</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优</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30</w:t>
      </w:r>
      <w:r>
        <w:rPr>
          <w:rFonts w:ascii="仿宋" w:hAnsi="仿宋" w:cs="仿宋" w:eastAsia="仿宋"/>
          <w:sz w:val="32"/>
        </w:rPr>
        <w:t>，得分</w:t>
      </w:r>
      <w:r>
        <w:rPr>
          <w:rFonts w:ascii="仿宋" w:hAnsi="仿宋" w:cs="仿宋" w:eastAsia="仿宋"/>
          <w:sz w:val="32"/>
        </w:rPr>
        <w:t>30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3、时效指标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2)及时支付干警出差补助及住宿扥费用</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15</w:t>
      </w:r>
      <w:r>
        <w:rPr>
          <w:rFonts w:ascii="仿宋" w:hAnsi="仿宋" w:cs="仿宋" w:eastAsia="仿宋"/>
          <w:sz w:val="32"/>
        </w:rPr>
        <w:t>天</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w:t>
      </w:r>
      <w:r>
        <w:rPr>
          <w:rFonts w:ascii="仿宋" w:hAnsi="仿宋" w:cs="仿宋" w:eastAsia="仿宋"/>
          <w:sz w:val="32"/>
        </w:rPr>
        <w:t>天</w:t>
      </w:r>
      <w:r>
        <w:rPr>
          <w:rFonts w:ascii="仿宋" w:hAnsi="仿宋" w:cs="仿宋" w:eastAsia="仿宋"/>
          <w:sz w:val="32"/>
        </w:rPr>
        <w:t>，分值</w:t>
      </w:r>
      <w:r>
        <w:rPr>
          <w:rFonts w:ascii="仿宋" w:hAnsi="仿宋" w:cs="仿宋" w:eastAsia="仿宋"/>
          <w:sz w:val="32"/>
        </w:rPr>
        <w:t>20</w:t>
      </w:r>
      <w:r>
        <w:rPr>
          <w:rFonts w:ascii="仿宋" w:hAnsi="仿宋" w:cs="仿宋" w:eastAsia="仿宋"/>
          <w:sz w:val="32"/>
        </w:rPr>
        <w:t>，得分</w:t>
      </w:r>
      <w:r>
        <w:rPr>
          <w:rFonts w:ascii="仿宋" w:hAnsi="仿宋" w:cs="仿宋" w:eastAsia="仿宋"/>
          <w:sz w:val="32"/>
        </w:rPr>
        <w:t>20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4、成本指标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(二) 效益指标完成情况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5、经济效益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6、社会效益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3)改善所辖地区法治环境</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高中低</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高</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20</w:t>
      </w:r>
      <w:r>
        <w:rPr>
          <w:rFonts w:ascii="仿宋" w:hAnsi="仿宋" w:cs="仿宋" w:eastAsia="仿宋"/>
          <w:sz w:val="32"/>
        </w:rPr>
        <w:t>，得分</w:t>
      </w:r>
      <w:r>
        <w:rPr>
          <w:rFonts w:ascii="仿宋" w:hAnsi="仿宋" w:cs="仿宋" w:eastAsia="仿宋"/>
          <w:sz w:val="32"/>
        </w:rPr>
        <w:t>20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7、生态效益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8、可持续影响</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4)保障维护法治的可持续性</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好坏</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好</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(三) 满意度指标完成情况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9、服务对象满意度</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5)案件当事人满意度</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98</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cs="仿宋_GB2312" w:eastAsia="仿宋_GB2312"/>
          <w:sz w:val="32"/>
        </w:rPr>
        <w:t>98.79</w:t>
      </w:r>
      <w:r>
        <w:rPr>
          <w:rFonts w:ascii="仿宋_GB2312" w:hAnsi="仿宋_GB2312" w:cs="仿宋_GB2312" w:eastAsia="仿宋_GB2312"/>
          <w:sz w:val="32"/>
        </w:rPr>
        <w:t>分，等级为</w:t>
      </w:r>
      <w:r>
        <w:rPr>
          <w:rFonts w:ascii="仿宋_GB2312" w:hAnsi="仿宋_GB2312" w:cs="仿宋_GB2312" w:eastAsia="仿宋_GB2312"/>
          <w:sz w:val="32"/>
        </w:rPr>
        <w:t>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ascii="仿宋" w:hAnsi="仿宋" w:eastAsia="仿宋"/>
          <w:b/>
          <w:sz w:val="32"/>
          <w:szCs w:val="32"/>
        </w:rPr>
      </w:pP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我院进一步修订了《内蒙古自治区人民检察院业务经费报销管理的办法》，该办法进一步规范干警报销差旅费的时间限制，从年初设定的15天提高到10天，有效的推广了公务卡的使用，提高了财政资金的使用效率，干警的满意度也有所提高。今后我院依据新修订的人民检察院财务管理办法进一步完善各项经费报销制度，加强内部控制制度管理，提高财政资金使用效率，保障维护司法权威的可持续性。</w:t>
      </w:r>
    </w:p>
    <w:p>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p>
    <w:p>
      <w:pPr>
        <w:spacing w:line="620" w:lineRule="exact"/>
        <w:ind w:firstLine="880"/>
        <w:jc w:val="center"/>
        <w:rPr>
          <w:rFonts w:ascii="方正小标宋简体" w:eastAsia="方正小标宋简体"/>
          <w:sz w:val="44"/>
          <w:szCs w:val="44"/>
        </w:rPr>
      </w:pPr>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86"/>
    <w:family w:val="roman"/>
    <w:pitch w:val="default"/>
    <w:sig w:usb0="00000000" w:usb1="00000000" w:usb2="00000010" w:usb3="00000000" w:csb0="00040000" w:csb1="00000000"/>
  </w:font>
  <w:font w:name="monospace">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zIzZTYxNzYyMTBiMzNiMDUxODg5NTdjYzRiNTU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4969DC"/>
    <w:rsid w:val="40B53B29"/>
    <w:rsid w:val="41A437D2"/>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BDFEA1"/>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E77AE1E"/>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0"/>
    <w:rPr>
      <w:rFonts w:ascii="宋体" w:hAnsi="宋体"/>
      <w:kern w:val="2"/>
      <w:sz w:val="18"/>
      <w:szCs w:val="18"/>
    </w:rPr>
  </w:style>
  <w:style w:type="character" w:customStyle="1" w:styleId="8">
    <w:name w:val="页脚 字符"/>
    <w:basedOn w:val="6"/>
    <w:link w:val="2"/>
    <w:qFormat/>
    <w:uiPriority w:val="0"/>
    <w:rPr>
      <w:rFonts w:ascii="宋体" w:hAnsi="宋体"/>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382</Words>
  <Characters>1382</Characters>
  <Lines>16</Lines>
  <Paragraphs>4</Paragraphs>
  <TotalTime>0</TotalTime>
  <ScaleCrop>false</ScaleCrop>
  <LinksUpToDate>false</LinksUpToDate>
  <CharactersWithSpaces>1395</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2021-01-19T07:13:00Z</dcterms:created>
  <dc:creator>Administrator</dc:creator>
  <cp:lastModifiedBy>.</cp:lastModifiedBy>
  <dcterms:modified xsi:type="dcterms:W3CDTF">2023-04-20T15:50:35Z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2CF270DEABCC4AC0B2D61ED60F3256AC</vt:lpwstr>
  </property>
</Properties>
</file>