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Hans" w:bidi="ar"/>
        </w:rPr>
        <w:t>项目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  <w:t>绩效自评报告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2022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年度）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项目名称：</w:t>
      </w:r>
      <w:r>
        <w:rPr>
          <w:rFonts w:ascii="仿宋" w:hAnsi="仿宋" w:eastAsia="仿宋" w:cs="仿宋"/>
          <w:b/>
          <w:sz w:val="32"/>
        </w:rPr>
        <w:t>检察官培训费</w:t>
      </w: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主管部门：</w:t>
      </w:r>
      <w:r>
        <w:rPr>
          <w:rFonts w:ascii="仿宋" w:hAnsi="仿宋" w:eastAsia="仿宋" w:cs="仿宋"/>
          <w:b/>
          <w:sz w:val="32"/>
        </w:rPr>
        <w:t>内蒙古自治区人民检察院部门</w:t>
      </w: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2023年5月29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日</w:t>
      </w:r>
    </w:p>
    <w:p>
      <w:pPr>
        <w:ind w:firstLine="1606" w:firstLineChars="5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vertAlign w:val="baseline"/>
          <w:lang w:val="en-US" w:eastAsia="zh-CN" w:bidi="ar-SA"/>
        </w:rPr>
        <w:t>（盖章）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spacing w:line="62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检察官培训费项目绩效自评报告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spacing w:line="620" w:lineRule="exact"/>
        <w:ind w:firstLine="990" w:firstLineChars="330"/>
        <w:rPr>
          <w:rFonts w:hint="eastAsia" w:ascii="仿宋"/>
          <w:sz w:val="32"/>
        </w:rPr>
      </w:pPr>
      <w:r>
        <w:rPr>
          <w:rFonts w:hint="eastAsia" w:ascii="仿宋"/>
          <w:sz w:val="30"/>
          <w:szCs w:val="30"/>
        </w:rPr>
        <w:t>保障培训正常运转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</w:t>
      </w:r>
      <w:r>
        <w:rPr>
          <w:rFonts w:ascii="仿宋" w:hAnsi="仿宋" w:eastAsia="仿宋" w:cs="仿宋"/>
          <w:color w:val="auto"/>
          <w:spacing w:val="8"/>
          <w:sz w:val="30"/>
        </w:rPr>
        <w:t>针对全区检察人员在思想、能力、作风方面结合岗位特点和素质能力进行培训，突出实训和综合素能培训；针对主责主业加强培训，突出政治理论教育和党性教育，增强参训人员思想素质和业务能力素质。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</w:t>
      </w:r>
      <w:r>
        <w:rPr>
          <w:rFonts w:ascii="仿宋" w:hAnsi="仿宋" w:eastAsia="仿宋" w:cs="仿宋"/>
          <w:color w:val="auto"/>
          <w:spacing w:val="8"/>
          <w:sz w:val="30"/>
        </w:rPr>
        <w:t>全区检察人员在思想、能力、作风方面和素质能力方面通过培训得到了提高，推行“检察官教检察官”模式，实行互动式案例教学，加强实战练兵，全年通过参加高检院选调训、领导干部专题讲座、中检网培训、委托业务培训、自主培训等方式提高业务能力和思想素质，使每个人都能得到锻炼。</w:t>
      </w:r>
    </w:p>
    <w:p>
      <w:pPr>
        <w:spacing w:line="620" w:lineRule="exact"/>
        <w:ind w:firstLine="640"/>
        <w:rPr>
          <w:rFonts w:hint="eastAsia" w:ascii="仿宋"/>
          <w:sz w:val="32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绩效自评工作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绩效自评目的。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随着司法体制改革工作不断深入开展，针对全区检察人员在思想、能力、作风方面结合岗位特点和素质能力，必须强化各条线业务培训。为保障全区检察机关领导素能培训、检察业务专项培训、综合业务专项培训、综合管理专项培训、视频网络培训及技能竞赛活动、岗位练兵活动的经费需要使用情况，对该项目实施绩效自评。使项目资金在年度培训计划内有效实施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ascii="仿宋" w:hAnsi="仿宋" w:eastAsia="仿宋" w:cs="仿宋"/>
          <w:color w:val="auto"/>
          <w:spacing w:val="4"/>
          <w:sz w:val="30"/>
        </w:rPr>
        <w:t>252.00万元，其中：财政拨款252.00万元，其他资金0.00万元。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ascii="仿宋" w:hAnsi="仿宋" w:eastAsia="仿宋" w:cs="仿宋"/>
          <w:color w:val="auto"/>
          <w:spacing w:val="4"/>
          <w:sz w:val="30"/>
        </w:rPr>
        <w:t>252.00万元，其中：财政拨款252.00万元，其他资金0.00万元。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ascii="仿宋" w:hAnsi="仿宋" w:eastAsia="仿宋" w:cs="仿宋"/>
          <w:color w:val="auto"/>
          <w:spacing w:val="4"/>
          <w:sz w:val="30"/>
        </w:rPr>
        <w:t>251.54万元，其中：财政拨款251.54万元，其他资金0.00万元。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该项目绩效目标共设定一级指标3个、二级指标7个，三级指标14个，分别从培训课程数量、培训天数、培训人次、培训班次、培训人员合格率、培训计划按期完成率、培训相关费用、人均培训成本控制率、培训范围覆盖率、参训人员能够准确理解培训内容、培训人员满意度等11个方面设定培训项目考核指标，年度培训都非常好的完成了年初设定的目标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该项目年初预算252万元，项目全年执行数251.54万元，执行率99.82%，通过推行“检察官教检察官”模式，实行互动式案例教学，加强实战练兵，全年通过参加高检院选调训、领导干部专题讲座、中检网培训、委托业务培训、自主培训等方式使全区检察人员在思想、能力、作风方面和素质能力方面通过培训得到了提高，使每个人都能得到锻炼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1)培训班次，目标值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 w:cs="仿宋"/>
          <w:sz w:val="32"/>
        </w:rPr>
        <w:t>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11次，分值5，得分5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2)培训课程数量，目标值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55</w:t>
      </w:r>
      <w:r>
        <w:rPr>
          <w:rFonts w:ascii="仿宋" w:hAnsi="仿宋" w:eastAsia="仿宋" w:cs="仿宋"/>
          <w:sz w:val="32"/>
        </w:rPr>
        <w:t>课时，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55课时，分值5，得分5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3)培训人次，目标值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1500</w:t>
      </w:r>
      <w:r>
        <w:rPr>
          <w:rFonts w:ascii="仿宋" w:hAnsi="仿宋" w:eastAsia="仿宋" w:cs="仿宋"/>
          <w:sz w:val="32"/>
        </w:rPr>
        <w:t>人次，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1500人次，分值3，得分3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4)培训天数，目标值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50</w:t>
      </w:r>
      <w:r>
        <w:rPr>
          <w:rFonts w:ascii="仿宋" w:hAnsi="仿宋" w:eastAsia="仿宋" w:cs="仿宋"/>
          <w:sz w:val="32"/>
        </w:rPr>
        <w:t>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50天，分值2，得分2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5)培训人员合格率，目标值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6)培训签到到位率，目标值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98%，分值5，得分5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7)培训实际班次，目标值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8)培训计划按期完成率，目标值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100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100%，分值5，得分5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9)培训按时完成时间，目标值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 w:cs="仿宋"/>
          <w:sz w:val="32"/>
        </w:rPr>
        <w:t>个月，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9个月，分值5，得分5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10)人均培训成本控制率，目标值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400</w:t>
      </w:r>
      <w:r>
        <w:rPr>
          <w:rFonts w:ascii="仿宋" w:hAnsi="仿宋" w:eastAsia="仿宋" w:cs="仿宋"/>
          <w:sz w:val="32"/>
        </w:rPr>
        <w:t>元/人/天，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400元/人/天，分值5，得分5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11)培训总成本，目标值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252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251.54万元，分值5，得分4.99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12)参与培训人员能够精准理解培训内容，目标值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理解，分值15，得分15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13)保障业务培训可持续性，目标值</w:t>
      </w:r>
      <w:r>
        <w:rPr>
          <w:rFonts w:hint="eastAsia" w:ascii="仿宋" w:hAnsi="仿宋" w:eastAsia="仿宋"/>
          <w:sz w:val="32"/>
          <w:szCs w:val="32"/>
        </w:rPr>
        <w:t>提升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提升，分值15，得分15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14)培训人员满意度，目标值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95%，分值10，得分10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自评得分情况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eastAsia="仿宋_GB2312" w:cs="仿宋_GB2312"/>
          <w:sz w:val="32"/>
        </w:rPr>
        <w:t>99.97分，等级为A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存在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项目立项、实施存在问题。</w:t>
      </w:r>
    </w:p>
    <w:p>
      <w:pPr>
        <w:numPr>
          <w:ilvl w:val="0"/>
          <w:numId w:val="4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资金管理使用存在问题</w:t>
      </w:r>
    </w:p>
    <w:p>
      <w:pPr>
        <w:spacing w:line="240" w:lineRule="auto"/>
        <w:ind w:left="420" w:firstLine="420" w:firstLineChars="0"/>
        <w:rPr>
          <w:rFonts w:ascii="仿宋" w:hAnsi="仿宋" w:eastAsia="仿宋"/>
          <w:b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五、其他需要说明的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spacing w:before="188" w:line="204" w:lineRule="auto"/>
        <w:ind w:firstLine="57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（一）后续工作计划。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按照《内蒙古自治区本级党政机关培训费管理办法》要求，采用综合定额标准严格控制培训费使用情况，并按年初党组制定的年度培训计划合理有序安排每一场培训。今后年度工作计划一是设定产出指标——数量指标——培训人次/培训天数/培训班次等三级指标时应综合考虑最高检培训要求及社会影响因素，合理设定年度指标值。二是节约培训成本，通过指标设定提高培训范围覆盖率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-1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（二）措施及办法。</w:t>
      </w: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ADA24D32"/>
    <w:multiLevelType w:val="singleLevel"/>
    <w:tmpl w:val="ADA24D32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zIzZTYxNzYyMTBiMzNiMDUxODg5NTdjYzRiNT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3B509F6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5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0</TotalTime>
  <ScaleCrop>false</ScaleCrop>
  <LinksUpToDate>false</LinksUpToDate>
  <CharactersWithSpaces>1395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cz</cp:lastModifiedBy>
  <dcterms:modified xsi:type="dcterms:W3CDTF">2023-05-29T01:40:33Z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2CF270DEABCC4AC0B2D61ED60F3256AC</vt:lpwstr>
  </property>
</Properties>
</file>